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4E50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color w:val="000000"/>
          <w:spacing w:val="20"/>
          <w:w w:val="115"/>
          <w:kern w:val="2"/>
          <w:sz w:val="28"/>
          <w:szCs w:val="28"/>
          <w:highlight w:val="none"/>
        </w:rPr>
      </w:pPr>
      <w:r>
        <w:rPr>
          <w:rFonts w:hint="default" w:ascii="Times New Roman" w:hAnsi="Times New Roman" w:eastAsia="黑体" w:cs="Times New Roman"/>
          <w:color w:val="000000"/>
          <w:spacing w:val="20"/>
          <w:kern w:val="0"/>
          <w:sz w:val="28"/>
          <w:szCs w:val="28"/>
          <w:highlight w:val="none"/>
          <w:fitText w:val="2520" w:id="460146233"/>
        </w:rPr>
        <w:t>鼎城区十八届人</w:t>
      </w:r>
      <w:r>
        <w:rPr>
          <w:rFonts w:hint="default" w:ascii="Times New Roman" w:hAnsi="Times New Roman" w:eastAsia="黑体" w:cs="Times New Roman"/>
          <w:color w:val="000000"/>
          <w:spacing w:val="0"/>
          <w:kern w:val="0"/>
          <w:sz w:val="28"/>
          <w:szCs w:val="28"/>
          <w:highlight w:val="none"/>
          <w:fitText w:val="2520" w:id="460146233"/>
        </w:rPr>
        <w:t>大</w:t>
      </w:r>
    </w:p>
    <w:p w14:paraId="2ECC7CC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color w:val="000000"/>
          <w:sz w:val="28"/>
          <w:szCs w:val="28"/>
          <w:highlight w:val="none"/>
          <w:lang w:val="en-US" w:eastAsia="zh-CN"/>
        </w:rPr>
      </w:pPr>
      <w:r>
        <w:rPr>
          <w:rFonts w:hint="eastAsia" w:ascii="Times New Roman" w:hAnsi="Times New Roman" w:eastAsia="黑体" w:cs="Times New Roman"/>
          <w:color w:val="000000"/>
          <w:sz w:val="28"/>
          <w:szCs w:val="28"/>
          <w:highlight w:val="none"/>
          <w:lang w:val="en-US" w:eastAsia="zh-CN"/>
        </w:rPr>
        <w:t>六</w:t>
      </w:r>
      <w:r>
        <w:rPr>
          <w:rFonts w:hint="default" w:ascii="Times New Roman" w:hAnsi="Times New Roman" w:eastAsia="黑体" w:cs="Times New Roman"/>
          <w:color w:val="000000"/>
          <w:sz w:val="28"/>
          <w:szCs w:val="28"/>
          <w:highlight w:val="none"/>
        </w:rPr>
        <w:t>次会议文件之</w:t>
      </w:r>
      <w:r>
        <w:rPr>
          <w:rFonts w:hint="default" w:ascii="Times New Roman" w:hAnsi="Times New Roman" w:eastAsia="黑体" w:cs="Times New Roman"/>
          <w:color w:val="000000"/>
          <w:sz w:val="28"/>
          <w:szCs w:val="28"/>
          <w:highlight w:val="none"/>
          <w:lang w:val="en-US" w:eastAsia="zh-CN"/>
        </w:rPr>
        <w:t>十</w:t>
      </w:r>
      <w:r>
        <w:rPr>
          <w:rFonts w:hint="eastAsia" w:ascii="Times New Roman" w:hAnsi="Times New Roman" w:eastAsia="黑体" w:cs="Times New Roman"/>
          <w:color w:val="000000"/>
          <w:sz w:val="28"/>
          <w:szCs w:val="28"/>
          <w:highlight w:val="none"/>
          <w:lang w:val="en-US" w:eastAsia="zh-CN"/>
        </w:rPr>
        <w:t>四</w:t>
      </w:r>
    </w:p>
    <w:p w14:paraId="3B37C967">
      <w:pPr>
        <w:keepNext w:val="0"/>
        <w:keepLines w:val="0"/>
        <w:pageBreakBefore w:val="0"/>
        <w:kinsoku/>
        <w:wordWrap/>
        <w:overflowPunct/>
        <w:topLinePunct w:val="0"/>
        <w:autoSpaceDE/>
        <w:autoSpaceDN/>
        <w:bidi w:val="0"/>
        <w:adjustRightInd/>
        <w:spacing w:before="313" w:beforeLines="100" w:after="313" w:afterLines="100" w:line="240" w:lineRule="auto"/>
        <w:jc w:val="center"/>
        <w:textAlignment w:val="auto"/>
        <w:rPr>
          <w:rFonts w:hint="default" w:ascii="Times New Roman" w:hAnsi="Times New Roman" w:eastAsia="方正小标宋简体" w:cs="Times New Roman"/>
          <w:bCs/>
          <w:color w:val="000000"/>
          <w:sz w:val="44"/>
          <w:highlight w:val="none"/>
        </w:rPr>
      </w:pPr>
      <w:r>
        <w:rPr>
          <w:rFonts w:hint="default" w:ascii="Times New Roman" w:hAnsi="Times New Roman" w:eastAsia="方正小标宋简体" w:cs="Times New Roman"/>
          <w:bCs/>
          <w:color w:val="000000"/>
          <w:sz w:val="44"/>
          <w:highlight w:val="none"/>
        </w:rPr>
        <w:t>常德市鼎城区人民检察院工作报告</w:t>
      </w:r>
    </w:p>
    <w:p w14:paraId="5DFC17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bCs/>
          <w:color w:val="000000"/>
          <w:sz w:val="32"/>
          <w:szCs w:val="32"/>
          <w:highlight w:val="none"/>
        </w:rPr>
      </w:pPr>
      <w:r>
        <w:rPr>
          <w:rFonts w:hint="eastAsia" w:ascii="宋体" w:hAnsi="宋体" w:eastAsia="宋体" w:cs="宋体"/>
          <w:b/>
          <w:bCs/>
          <w:color w:val="000000"/>
          <w:sz w:val="32"/>
          <w:szCs w:val="32"/>
          <w:highlight w:val="none"/>
          <w:lang w:eastAsia="zh-CN"/>
        </w:rPr>
        <w:t>——</w:t>
      </w:r>
      <w:r>
        <w:rPr>
          <w:rFonts w:hint="default" w:ascii="Times New Roman" w:hAnsi="Times New Roman" w:eastAsia="楷体_GB2312" w:cs="Times New Roman"/>
          <w:b/>
          <w:bCs/>
          <w:color w:val="000000"/>
          <w:sz w:val="32"/>
          <w:szCs w:val="32"/>
          <w:highlight w:val="none"/>
        </w:rPr>
        <w:t>202</w:t>
      </w:r>
      <w:r>
        <w:rPr>
          <w:rFonts w:hint="default" w:ascii="Times New Roman" w:hAnsi="Times New Roman" w:eastAsia="楷体_GB2312" w:cs="Times New Roman"/>
          <w:b/>
          <w:bCs/>
          <w:color w:val="000000"/>
          <w:sz w:val="32"/>
          <w:szCs w:val="32"/>
          <w:highlight w:val="none"/>
          <w:lang w:val="en-US" w:eastAsia="zh-CN"/>
        </w:rPr>
        <w:t>6</w:t>
      </w:r>
      <w:r>
        <w:rPr>
          <w:rFonts w:hint="default" w:ascii="Times New Roman" w:hAnsi="Times New Roman" w:eastAsia="楷体_GB2312" w:cs="Times New Roman"/>
          <w:b/>
          <w:bCs/>
          <w:color w:val="000000"/>
          <w:sz w:val="32"/>
          <w:szCs w:val="32"/>
          <w:highlight w:val="none"/>
        </w:rPr>
        <w:t>年</w:t>
      </w:r>
      <w:r>
        <w:rPr>
          <w:rFonts w:hint="default" w:ascii="Times New Roman" w:hAnsi="Times New Roman" w:eastAsia="楷体_GB2312" w:cs="Times New Roman"/>
          <w:b/>
          <w:bCs/>
          <w:color w:val="000000"/>
          <w:sz w:val="32"/>
          <w:szCs w:val="32"/>
          <w:highlight w:val="none"/>
          <w:lang w:val="en-US" w:eastAsia="zh-CN"/>
        </w:rPr>
        <w:t>1</w:t>
      </w:r>
      <w:r>
        <w:rPr>
          <w:rFonts w:hint="default" w:ascii="Times New Roman" w:hAnsi="Times New Roman" w:eastAsia="楷体_GB2312" w:cs="Times New Roman"/>
          <w:b/>
          <w:bCs/>
          <w:color w:val="000000"/>
          <w:sz w:val="32"/>
          <w:szCs w:val="32"/>
          <w:highlight w:val="none"/>
        </w:rPr>
        <w:t>月</w:t>
      </w:r>
      <w:r>
        <w:rPr>
          <w:rFonts w:hint="default" w:ascii="Times New Roman" w:hAnsi="Times New Roman" w:eastAsia="楷体_GB2312" w:cs="Times New Roman"/>
          <w:b/>
          <w:bCs/>
          <w:color w:val="000000"/>
          <w:sz w:val="32"/>
          <w:szCs w:val="32"/>
          <w:highlight w:val="none"/>
          <w:lang w:val="en-US" w:eastAsia="zh-CN"/>
        </w:rPr>
        <w:t>28</w:t>
      </w:r>
      <w:r>
        <w:rPr>
          <w:rFonts w:hint="default" w:ascii="Times New Roman" w:hAnsi="Times New Roman" w:eastAsia="楷体_GB2312" w:cs="Times New Roman"/>
          <w:b/>
          <w:bCs/>
          <w:color w:val="000000"/>
          <w:sz w:val="32"/>
          <w:szCs w:val="32"/>
          <w:highlight w:val="none"/>
        </w:rPr>
        <w:t>日</w:t>
      </w:r>
      <w:r>
        <w:rPr>
          <w:rFonts w:hint="eastAsia" w:ascii="楷体_GB2312" w:hAnsi="楷体_GB2312" w:eastAsia="楷体_GB2312" w:cs="楷体_GB2312"/>
          <w:b/>
          <w:bCs/>
          <w:color w:val="000000"/>
          <w:sz w:val="32"/>
          <w:szCs w:val="32"/>
          <w:highlight w:val="none"/>
        </w:rPr>
        <w:t>在常德市鼎城区第十八届人民代表大会</w:t>
      </w:r>
    </w:p>
    <w:p w14:paraId="540C18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_GB2312" w:hAnsi="楷体_GB2312" w:eastAsia="楷体_GB2312" w:cs="楷体_GB2312"/>
          <w:b/>
          <w:bCs/>
          <w:color w:val="000000"/>
          <w:sz w:val="32"/>
          <w:szCs w:val="32"/>
          <w:highlight w:val="none"/>
        </w:rPr>
      </w:pPr>
      <w:r>
        <w:rPr>
          <w:rFonts w:hint="eastAsia" w:ascii="楷体_GB2312" w:hAnsi="楷体_GB2312" w:eastAsia="楷体_GB2312" w:cs="楷体_GB2312"/>
          <w:b/>
          <w:bCs/>
          <w:color w:val="000000"/>
          <w:sz w:val="32"/>
          <w:szCs w:val="32"/>
          <w:highlight w:val="none"/>
        </w:rPr>
        <w:t>第</w:t>
      </w:r>
      <w:r>
        <w:rPr>
          <w:rFonts w:hint="eastAsia" w:ascii="楷体_GB2312" w:hAnsi="楷体_GB2312" w:eastAsia="楷体_GB2312" w:cs="楷体_GB2312"/>
          <w:b/>
          <w:bCs/>
          <w:color w:val="000000"/>
          <w:sz w:val="32"/>
          <w:szCs w:val="32"/>
          <w:highlight w:val="none"/>
          <w:lang w:val="en-US" w:eastAsia="zh-CN"/>
        </w:rPr>
        <w:t>六</w:t>
      </w:r>
      <w:r>
        <w:rPr>
          <w:rFonts w:hint="eastAsia" w:ascii="楷体_GB2312" w:hAnsi="楷体_GB2312" w:eastAsia="楷体_GB2312" w:cs="楷体_GB2312"/>
          <w:b/>
          <w:bCs/>
          <w:color w:val="000000"/>
          <w:sz w:val="32"/>
          <w:szCs w:val="32"/>
          <w:highlight w:val="none"/>
        </w:rPr>
        <w:t>次会议上</w:t>
      </w:r>
    </w:p>
    <w:p w14:paraId="4F52E027">
      <w:pPr>
        <w:keepNext w:val="0"/>
        <w:keepLines w:val="0"/>
        <w:pageBreakBefore w:val="0"/>
        <w:widowControl w:val="0"/>
        <w:kinsoku/>
        <w:wordWrap/>
        <w:overflowPunct/>
        <w:topLinePunct w:val="0"/>
        <w:autoSpaceDE/>
        <w:autoSpaceDN/>
        <w:bidi w:val="0"/>
        <w:adjustRightInd/>
        <w:snapToGrid/>
        <w:spacing w:before="313" w:beforeLines="100" w:after="313" w:afterLines="100" w:line="240" w:lineRule="auto"/>
        <w:ind w:left="0" w:leftChars="0" w:right="0" w:rightChars="0"/>
        <w:jc w:val="center"/>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黑体" w:cs="Times New Roman"/>
          <w:color w:val="000000"/>
          <w:sz w:val="32"/>
          <w:szCs w:val="32"/>
          <w:highlight w:val="none"/>
        </w:rPr>
        <w:t>朱</w:t>
      </w:r>
      <w:r>
        <w:rPr>
          <w:rFonts w:hint="eastAsia" w:ascii="Times New Roman" w:hAnsi="Times New Roman" w:eastAsia="黑体" w:cs="Times New Roman"/>
          <w:color w:val="000000"/>
          <w:sz w:val="32"/>
          <w:szCs w:val="32"/>
          <w:highlight w:val="none"/>
          <w:lang w:val="en-US" w:eastAsia="zh-CN"/>
        </w:rPr>
        <w:t xml:space="preserve">  </w:t>
      </w:r>
      <w:r>
        <w:rPr>
          <w:rFonts w:hint="default" w:ascii="Times New Roman" w:hAnsi="Times New Roman" w:eastAsia="黑体" w:cs="Times New Roman"/>
          <w:color w:val="000000"/>
          <w:sz w:val="32"/>
          <w:szCs w:val="32"/>
          <w:highlight w:val="none"/>
        </w:rPr>
        <w:t>艳</w:t>
      </w:r>
      <w:r>
        <w:rPr>
          <w:rFonts w:hint="eastAsia" w:ascii="Times New Roman" w:hAnsi="Times New Roman" w:eastAsia="黑体" w:cs="Times New Roman"/>
          <w:color w:val="000000"/>
          <w:sz w:val="32"/>
          <w:szCs w:val="32"/>
          <w:highlight w:val="none"/>
          <w:lang w:val="en-US" w:eastAsia="zh-CN"/>
        </w:rPr>
        <w:t xml:space="preserve">  </w:t>
      </w:r>
      <w:r>
        <w:rPr>
          <w:rFonts w:hint="default" w:ascii="Times New Roman" w:hAnsi="Times New Roman" w:eastAsia="黑体" w:cs="Times New Roman"/>
          <w:color w:val="000000"/>
          <w:sz w:val="32"/>
          <w:szCs w:val="32"/>
          <w:highlight w:val="none"/>
        </w:rPr>
        <w:t>哲</w:t>
      </w:r>
    </w:p>
    <w:p w14:paraId="30C7CB2D">
      <w:pPr>
        <w:pStyle w:val="5"/>
        <w:keepNext w:val="0"/>
        <w:keepLines w:val="0"/>
        <w:pageBreakBefore w:val="0"/>
        <w:widowControl w:val="0"/>
        <w:kinsoku/>
        <w:wordWrap/>
        <w:overflowPunct/>
        <w:topLinePunct w:val="0"/>
        <w:autoSpaceDE/>
        <w:autoSpaceDN/>
        <w:bidi w:val="0"/>
        <w:adjustRightInd/>
        <w:snapToGrid/>
        <w:spacing w:after="0" w:afterLines="0" w:line="620" w:lineRule="exact"/>
        <w:textAlignment w:val="auto"/>
        <w:rPr>
          <w:rFonts w:hint="default" w:ascii="Times New Roman" w:hAnsi="Times New Roman" w:eastAsia="仿宋_GB2312" w:cs="Times New Roman"/>
          <w:color w:val="000000"/>
          <w:sz w:val="32"/>
          <w:szCs w:val="32"/>
          <w:highlight w:val="none"/>
        </w:rPr>
      </w:pPr>
    </w:p>
    <w:p w14:paraId="769FA581">
      <w:pPr>
        <w:pStyle w:val="5"/>
        <w:keepNext w:val="0"/>
        <w:keepLines w:val="0"/>
        <w:pageBreakBefore w:val="0"/>
        <w:widowControl w:val="0"/>
        <w:kinsoku/>
        <w:wordWrap/>
        <w:overflowPunct/>
        <w:topLinePunct w:val="0"/>
        <w:autoSpaceDE/>
        <w:autoSpaceDN/>
        <w:bidi w:val="0"/>
        <w:adjustRightInd/>
        <w:snapToGrid/>
        <w:spacing w:after="0" w:afterLines="0" w:line="620" w:lineRule="exac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各位代表：</w:t>
      </w:r>
    </w:p>
    <w:p w14:paraId="7ED815A7">
      <w:pPr>
        <w:pStyle w:val="5"/>
        <w:keepNext w:val="0"/>
        <w:keepLines w:val="0"/>
        <w:pageBreakBefore w:val="0"/>
        <w:widowControl w:val="0"/>
        <w:kinsoku/>
        <w:wordWrap/>
        <w:overflowPunct/>
        <w:topLinePunct w:val="0"/>
        <w:autoSpaceDE/>
        <w:autoSpaceDN/>
        <w:bidi w:val="0"/>
        <w:adjustRightInd/>
        <w:snapToGrid/>
        <w:spacing w:after="0" w:afterLines="0" w:line="620" w:lineRule="exact"/>
        <w:ind w:firstLine="640" w:firstLineChars="200"/>
        <w:textAlignment w:val="auto"/>
        <w:rPr>
          <w:rFonts w:hint="default" w:ascii="Times New Roman" w:hAnsi="Times New Roman" w:eastAsia="方正小标宋简体" w:cs="Times New Roman"/>
          <w:bCs/>
          <w:color w:val="000000"/>
          <w:sz w:val="44"/>
          <w:highlight w:val="none"/>
        </w:rPr>
      </w:pPr>
      <w:r>
        <w:rPr>
          <w:rFonts w:hint="default" w:ascii="Times New Roman" w:hAnsi="Times New Roman" w:eastAsia="仿宋_GB2312" w:cs="Times New Roman"/>
          <w:color w:val="000000"/>
          <w:sz w:val="32"/>
          <w:szCs w:val="32"/>
          <w:highlight w:val="none"/>
        </w:rPr>
        <w:t>现在，我代表区人民检察院向大会报告工作，请予审议，并请各位政协委员和其他列席人员提出意见。</w:t>
      </w:r>
    </w:p>
    <w:p w14:paraId="51C52A4C">
      <w:pPr>
        <w:keepNext w:val="0"/>
        <w:keepLines w:val="0"/>
        <w:pageBreakBefore w:val="0"/>
        <w:widowControl w:val="0"/>
        <w:kinsoku/>
        <w:wordWrap/>
        <w:overflowPunct/>
        <w:topLinePunct w:val="0"/>
        <w:autoSpaceDE/>
        <w:autoSpaceDN/>
        <w:bidi w:val="0"/>
        <w:adjustRightInd/>
        <w:snapToGrid/>
        <w:spacing w:before="469" w:beforeLines="150" w:after="469" w:afterLines="150" w:line="620" w:lineRule="exact"/>
        <w:jc w:val="center"/>
        <w:textAlignment w:val="auto"/>
        <w:rPr>
          <w:rFonts w:hint="eastAsia" w:ascii="华文中宋" w:hAnsi="华文中宋" w:eastAsia="华文中宋" w:cs="华文中宋"/>
          <w:b/>
          <w:bCs w:val="0"/>
          <w:color w:val="000000"/>
          <w:sz w:val="32"/>
          <w:szCs w:val="32"/>
          <w:highlight w:val="none"/>
        </w:rPr>
      </w:pPr>
      <w:r>
        <w:rPr>
          <w:rFonts w:hint="default" w:ascii="Times New Roman" w:hAnsi="Times New Roman" w:eastAsia="华文中宋" w:cs="Times New Roman"/>
          <w:b/>
          <w:bCs w:val="0"/>
          <w:color w:val="000000"/>
          <w:sz w:val="32"/>
          <w:szCs w:val="32"/>
          <w:highlight w:val="none"/>
        </w:rPr>
        <w:t>202</w:t>
      </w:r>
      <w:r>
        <w:rPr>
          <w:rFonts w:hint="default" w:ascii="Times New Roman" w:hAnsi="Times New Roman" w:eastAsia="华文中宋" w:cs="Times New Roman"/>
          <w:b/>
          <w:bCs w:val="0"/>
          <w:color w:val="000000"/>
          <w:sz w:val="32"/>
          <w:szCs w:val="32"/>
          <w:highlight w:val="none"/>
          <w:lang w:val="en-US" w:eastAsia="zh-CN"/>
        </w:rPr>
        <w:t>5</w:t>
      </w:r>
      <w:r>
        <w:rPr>
          <w:rFonts w:hint="eastAsia" w:ascii="华文中宋" w:hAnsi="华文中宋" w:eastAsia="华文中宋" w:cs="华文中宋"/>
          <w:b/>
          <w:bCs w:val="0"/>
          <w:color w:val="000000"/>
          <w:sz w:val="32"/>
          <w:szCs w:val="32"/>
          <w:highlight w:val="none"/>
        </w:rPr>
        <w:t>年工作回顾</w:t>
      </w:r>
    </w:p>
    <w:p w14:paraId="75D18F89">
      <w:pPr>
        <w:pStyle w:val="5"/>
        <w:keepNext w:val="0"/>
        <w:keepLines w:val="0"/>
        <w:pageBreakBefore w:val="0"/>
        <w:widowControl w:val="0"/>
        <w:kinsoku/>
        <w:wordWrap/>
        <w:overflowPunct/>
        <w:topLinePunct w:val="0"/>
        <w:autoSpaceDE/>
        <w:autoSpaceDN/>
        <w:bidi w:val="0"/>
        <w:adjustRightInd/>
        <w:snapToGrid/>
        <w:spacing w:after="0" w:afterLines="0" w:line="62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auto"/>
          <w:sz w:val="32"/>
          <w:szCs w:val="32"/>
          <w:highlight w:val="none"/>
          <w:lang w:val="en-US" w:eastAsia="zh-CN"/>
        </w:rPr>
        <w:t>202</w:t>
      </w:r>
      <w:r>
        <w:rPr>
          <w:rFonts w:hint="default" w:ascii="Times New Roman" w:hAnsi="Times New Roman"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年，</w:t>
      </w:r>
      <w:r>
        <w:rPr>
          <w:rFonts w:hint="eastAsia"/>
          <w:highlight w:val="none"/>
        </w:rPr>
        <w:t>区人民检察院在区委和上级检察机关的正确领导下，在区人大及其常委会的有力监督下，在区政府、区政协和社会各界的关心支持下，坚持以习近平新时代中国特色社会主义思想为指导，</w:t>
      </w:r>
      <w:r>
        <w:rPr>
          <w:rFonts w:hint="eastAsia"/>
          <w:highlight w:val="none"/>
          <w:lang w:val="en-US" w:eastAsia="zh-CN"/>
        </w:rPr>
        <w:t>深入学习贯彻习近平法治思想，全面贯彻落实党的二十大及历次全会精神，各项工作提质增效、稳步向前，</w:t>
      </w:r>
      <w:r>
        <w:rPr>
          <w:rFonts w:hint="default" w:ascii="Times New Roman" w:hAnsi="Times New Roman" w:eastAsia="仿宋_GB2312" w:cs="Times New Roman"/>
          <w:color w:val="000000"/>
          <w:sz w:val="32"/>
          <w:szCs w:val="32"/>
          <w:highlight w:val="none"/>
        </w:rPr>
        <w:t>较好地完成了区十八届人大</w:t>
      </w:r>
      <w:r>
        <w:rPr>
          <w:rFonts w:hint="eastAsia" w:ascii="Times New Roman" w:hAnsi="Times New Roman" w:cs="Times New Roman"/>
          <w:color w:val="000000"/>
          <w:sz w:val="32"/>
          <w:szCs w:val="32"/>
          <w:highlight w:val="none"/>
          <w:lang w:val="en-US" w:eastAsia="zh-CN"/>
        </w:rPr>
        <w:t>五</w:t>
      </w:r>
      <w:r>
        <w:rPr>
          <w:rFonts w:hint="default" w:ascii="Times New Roman" w:hAnsi="Times New Roman" w:eastAsia="仿宋_GB2312" w:cs="Times New Roman"/>
          <w:color w:val="000000"/>
          <w:sz w:val="32"/>
          <w:szCs w:val="32"/>
          <w:highlight w:val="none"/>
        </w:rPr>
        <w:t>次会议确定的工作任务。</w:t>
      </w:r>
    </w:p>
    <w:p w14:paraId="0A115F17">
      <w:pPr>
        <w:pStyle w:val="5"/>
        <w:keepNext w:val="0"/>
        <w:keepLines w:val="0"/>
        <w:pageBreakBefore w:val="0"/>
        <w:widowControl w:val="0"/>
        <w:kinsoku/>
        <w:wordWrap/>
        <w:overflowPunct/>
        <w:topLinePunct w:val="0"/>
        <w:autoSpaceDE/>
        <w:autoSpaceDN/>
        <w:bidi w:val="0"/>
        <w:adjustRightInd/>
        <w:snapToGrid/>
        <w:spacing w:after="0" w:afterLines="0" w:line="62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一年来，鼎城检察始终坚持“高质效办好每一个案件”这一基本价值追求，共办理各类案件1672件，3件案件</w:t>
      </w:r>
      <w:r>
        <w:rPr>
          <w:rFonts w:hint="eastAsia"/>
          <w:highlight w:val="none"/>
        </w:rPr>
        <w:t>获评省</w:t>
      </w:r>
      <w:r>
        <w:rPr>
          <w:rFonts w:hint="eastAsia"/>
          <w:highlight w:val="none"/>
          <w:lang w:val="en-US" w:eastAsia="zh-CN"/>
        </w:rPr>
        <w:t>级以上</w:t>
      </w:r>
      <w:r>
        <w:rPr>
          <w:rFonts w:hint="eastAsia"/>
          <w:highlight w:val="none"/>
        </w:rPr>
        <w:t>检察机关典型、</w:t>
      </w:r>
      <w:r>
        <w:rPr>
          <w:rFonts w:hint="eastAsia"/>
          <w:highlight w:val="none"/>
          <w:lang w:val="en-US" w:eastAsia="zh-CN"/>
        </w:rPr>
        <w:t>指导</w:t>
      </w:r>
      <w:r>
        <w:rPr>
          <w:rFonts w:hint="eastAsia"/>
          <w:highlight w:val="none"/>
        </w:rPr>
        <w:t>案例</w:t>
      </w:r>
      <w:r>
        <w:rPr>
          <w:rFonts w:hint="eastAsia"/>
          <w:highlight w:val="none"/>
          <w:lang w:eastAsia="zh-CN"/>
        </w:rPr>
        <w:t>，</w:t>
      </w:r>
      <w:r>
        <w:rPr>
          <w:rFonts w:hint="eastAsia" w:ascii="Times New Roman" w:hAnsi="Times New Roman" w:cs="Times New Roman"/>
          <w:color w:val="auto"/>
          <w:sz w:val="32"/>
          <w:szCs w:val="32"/>
          <w:highlight w:val="none"/>
          <w:lang w:val="en-US" w:eastAsia="zh-CN"/>
        </w:rPr>
        <w:t>1则工</w:t>
      </w:r>
      <w:r>
        <w:rPr>
          <w:rFonts w:hint="eastAsia"/>
          <w:highlight w:val="none"/>
          <w:lang w:val="en-US" w:eastAsia="zh-CN"/>
        </w:rPr>
        <w:t>作经验被最高检推介</w:t>
      </w:r>
      <w:r>
        <w:rPr>
          <w:rFonts w:hint="eastAsia"/>
          <w:highlight w:val="none"/>
          <w:lang w:eastAsia="zh-CN"/>
        </w:rPr>
        <w:t>。</w:t>
      </w:r>
      <w:r>
        <w:rPr>
          <w:rFonts w:hint="eastAsia" w:ascii="Times New Roman" w:hAnsi="Times New Roman" w:cs="Times New Roman"/>
          <w:color w:val="auto"/>
          <w:sz w:val="32"/>
          <w:szCs w:val="32"/>
          <w:highlight w:val="none"/>
          <w:lang w:val="en-US" w:eastAsia="zh-CN"/>
        </w:rPr>
        <w:t>3人在全省检察业务竞赛中获标兵能手称号，获奖人数全市第一。22个集体和个人受到市级以上表彰，荣获全国三八红旗集体、全国检察机关全媒体生产传播工作成绩突出单位、湖南省先进检察院等多项荣誉。</w:t>
      </w:r>
    </w:p>
    <w:p w14:paraId="425A3DCE">
      <w:pPr>
        <w:pStyle w:val="5"/>
        <w:keepNext w:val="0"/>
        <w:keepLines w:val="0"/>
        <w:pageBreakBefore w:val="0"/>
        <w:widowControl w:val="0"/>
        <w:kinsoku/>
        <w:wordWrap/>
        <w:overflowPunct/>
        <w:topLinePunct w:val="0"/>
        <w:autoSpaceDE/>
        <w:autoSpaceDN/>
        <w:bidi w:val="0"/>
        <w:adjustRightInd/>
        <w:snapToGrid/>
        <w:spacing w:after="0" w:afterLines="0" w:line="620" w:lineRule="exact"/>
        <w:ind w:firstLine="640" w:firstLineChars="200"/>
        <w:textAlignment w:val="auto"/>
        <w:rPr>
          <w:rFonts w:hint="default" w:ascii="Times New Roman" w:hAnsi="Times New Roman" w:cs="Times New Roman"/>
          <w:highlight w:val="none"/>
          <w:lang w:val="en-US" w:eastAsia="zh-CN"/>
        </w:rPr>
      </w:pPr>
      <w:r>
        <w:rPr>
          <w:rFonts w:hint="eastAsia" w:ascii="黑体" w:hAnsi="黑体" w:eastAsia="黑体" w:cs="黑体"/>
          <w:color w:val="auto"/>
          <w:sz w:val="32"/>
          <w:szCs w:val="32"/>
          <w:highlight w:val="none"/>
          <w:lang w:val="en-US" w:eastAsia="zh-CN"/>
        </w:rPr>
        <w:t>一、强化履职担当作为，全力护航社会发展大局</w:t>
      </w:r>
    </w:p>
    <w:p w14:paraId="773B3D38">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620" w:lineRule="exact"/>
        <w:ind w:firstLine="643"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default" w:ascii="楷体_GB2312" w:hAnsi="楷体_GB2312" w:eastAsia="楷体_GB2312" w:cs="楷体_GB2312"/>
          <w:b/>
          <w:bCs/>
          <w:color w:val="auto"/>
          <w:kern w:val="2"/>
          <w:sz w:val="32"/>
          <w:szCs w:val="32"/>
          <w:highlight w:val="none"/>
          <w:lang w:val="en-US" w:eastAsia="zh-CN" w:bidi="ar-SA"/>
        </w:rPr>
        <w:t>在建设平安鼎城中担当有为</w:t>
      </w:r>
      <w:r>
        <w:rPr>
          <w:rFonts w:hint="eastAsia" w:ascii="楷体_GB2312" w:hAnsi="楷体_GB2312" w:eastAsia="楷体_GB2312" w:cs="楷体_GB2312"/>
          <w:b/>
          <w:bCs/>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充分发挥刑事检察职能作用，着力惩治和预防各类犯罪，依法批捕</w:t>
      </w:r>
      <w:r>
        <w:rPr>
          <w:rFonts w:hint="eastAsia" w:ascii="Times New Roman" w:hAnsi="Times New Roman" w:eastAsia="仿宋_GB2312" w:cs="Times New Roman"/>
          <w:b w:val="0"/>
          <w:bCs w:val="0"/>
          <w:color w:val="auto"/>
          <w:sz w:val="32"/>
          <w:szCs w:val="32"/>
          <w:lang w:val="en-US" w:eastAsia="zh-CN"/>
        </w:rPr>
        <w:t>142件165人</w:t>
      </w:r>
      <w:r>
        <w:rPr>
          <w:rFonts w:hint="default" w:ascii="Times New Roman" w:hAnsi="Times New Roman" w:eastAsia="仿宋_GB2312" w:cs="Times New Roman"/>
          <w:b w:val="0"/>
          <w:bCs w:val="0"/>
          <w:color w:val="auto"/>
          <w:kern w:val="2"/>
          <w:sz w:val="32"/>
          <w:szCs w:val="32"/>
          <w:highlight w:val="none"/>
          <w:lang w:val="en-US" w:eastAsia="zh-CN" w:bidi="ar-SA"/>
        </w:rPr>
        <w:t>、起诉</w:t>
      </w:r>
      <w:r>
        <w:rPr>
          <w:rFonts w:hint="eastAsia" w:ascii="Times New Roman" w:hAnsi="Times New Roman" w:cs="Times New Roman"/>
          <w:b w:val="0"/>
          <w:bCs w:val="0"/>
          <w:color w:val="auto"/>
          <w:sz w:val="32"/>
          <w:szCs w:val="32"/>
          <w:lang w:val="en-US" w:eastAsia="zh-CN"/>
        </w:rPr>
        <w:t>330</w:t>
      </w:r>
      <w:r>
        <w:rPr>
          <w:rFonts w:hint="eastAsia" w:ascii="Times New Roman" w:hAnsi="Times New Roman" w:eastAsia="仿宋_GB2312" w:cs="Times New Roman"/>
          <w:b w:val="0"/>
          <w:bCs w:val="0"/>
          <w:color w:val="auto"/>
          <w:sz w:val="32"/>
          <w:szCs w:val="32"/>
          <w:lang w:val="en-US" w:eastAsia="zh-CN"/>
        </w:rPr>
        <w:t>件</w:t>
      </w:r>
      <w:r>
        <w:rPr>
          <w:rFonts w:hint="eastAsia" w:ascii="Times New Roman" w:hAnsi="Times New Roman" w:cs="Times New Roman"/>
          <w:b w:val="0"/>
          <w:bCs w:val="0"/>
          <w:color w:val="auto"/>
          <w:sz w:val="32"/>
          <w:szCs w:val="32"/>
          <w:lang w:val="en-US" w:eastAsia="zh-CN"/>
        </w:rPr>
        <w:t>525</w:t>
      </w:r>
      <w:r>
        <w:rPr>
          <w:rFonts w:hint="eastAsia" w:ascii="Times New Roman" w:hAnsi="Times New Roman" w:eastAsia="仿宋_GB2312" w:cs="Times New Roman"/>
          <w:b w:val="0"/>
          <w:bCs w:val="0"/>
          <w:color w:val="auto"/>
          <w:sz w:val="32"/>
          <w:szCs w:val="32"/>
          <w:lang w:val="en-US" w:eastAsia="zh-CN"/>
        </w:rPr>
        <w:t>人</w:t>
      </w:r>
      <w:r>
        <w:rPr>
          <w:rFonts w:hint="default" w:ascii="Times New Roman" w:hAnsi="Times New Roman" w:eastAsia="仿宋_GB2312" w:cs="Times New Roman"/>
          <w:b w:val="0"/>
          <w:bCs w:val="0"/>
          <w:color w:val="auto"/>
          <w:kern w:val="2"/>
          <w:sz w:val="32"/>
          <w:szCs w:val="32"/>
          <w:highlight w:val="none"/>
          <w:lang w:val="en-US" w:eastAsia="zh-CN" w:bidi="ar-SA"/>
        </w:rPr>
        <w:t>。坚持</w:t>
      </w:r>
      <w:r>
        <w:rPr>
          <w:rFonts w:hint="eastAsia"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严</w:t>
      </w:r>
      <w:r>
        <w:rPr>
          <w:rFonts w:hint="eastAsia"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的震慑不动摇，</w:t>
      </w:r>
      <w:r>
        <w:rPr>
          <w:rFonts w:hint="eastAsia" w:ascii="Times New Roman" w:hAnsi="Times New Roman" w:cs="Times New Roman"/>
          <w:b w:val="0"/>
          <w:bCs w:val="0"/>
          <w:color w:val="auto"/>
          <w:kern w:val="2"/>
          <w:sz w:val="32"/>
          <w:szCs w:val="32"/>
          <w:highlight w:val="none"/>
          <w:lang w:val="en-US" w:eastAsia="zh-CN" w:bidi="ar-SA"/>
        </w:rPr>
        <w:t>常态化推进扫黑除恶工作，</w:t>
      </w:r>
      <w:r>
        <w:rPr>
          <w:rFonts w:hint="default" w:ascii="Times New Roman" w:hAnsi="Times New Roman" w:eastAsia="仿宋_GB2312" w:cs="Times New Roman"/>
          <w:b w:val="0"/>
          <w:bCs w:val="0"/>
          <w:color w:val="auto"/>
          <w:kern w:val="2"/>
          <w:sz w:val="32"/>
          <w:szCs w:val="32"/>
          <w:highlight w:val="none"/>
          <w:lang w:val="en-US" w:eastAsia="zh-CN" w:bidi="ar-SA"/>
        </w:rPr>
        <w:t>依法从重从严从快惩治重大恶性犯罪，</w:t>
      </w:r>
      <w:r>
        <w:rPr>
          <w:rFonts w:hint="eastAsia" w:ascii="Times New Roman" w:hAnsi="Times New Roman" w:cs="Times New Roman"/>
          <w:b w:val="0"/>
          <w:bCs w:val="0"/>
          <w:color w:val="auto"/>
          <w:kern w:val="2"/>
          <w:sz w:val="32"/>
          <w:szCs w:val="32"/>
          <w:highlight w:val="none"/>
          <w:lang w:val="en-US" w:eastAsia="zh-CN" w:bidi="ar-SA"/>
        </w:rPr>
        <w:t>起诉</w:t>
      </w:r>
      <w:r>
        <w:rPr>
          <w:rFonts w:hint="default" w:ascii="Times New Roman" w:hAnsi="Times New Roman" w:eastAsia="仿宋_GB2312" w:cs="Times New Roman"/>
          <w:color w:val="auto"/>
          <w:sz w:val="32"/>
          <w:szCs w:val="32"/>
        </w:rPr>
        <w:t>故意伤害</w:t>
      </w:r>
      <w:r>
        <w:rPr>
          <w:rFonts w:hint="eastAsia" w:ascii="Times New Roman" w:hAnsi="Times New Roman" w:cs="Times New Roman"/>
          <w:color w:val="auto"/>
          <w:sz w:val="32"/>
          <w:szCs w:val="32"/>
          <w:lang w:val="en-US" w:eastAsia="zh-CN"/>
        </w:rPr>
        <w:t>致人重伤或者死亡</w:t>
      </w:r>
      <w:r>
        <w:rPr>
          <w:rFonts w:hint="default" w:ascii="Times New Roman" w:hAnsi="Times New Roman" w:eastAsia="仿宋_GB2312" w:cs="Times New Roman"/>
          <w:color w:val="auto"/>
          <w:sz w:val="32"/>
          <w:szCs w:val="32"/>
        </w:rPr>
        <w:t>、</w:t>
      </w:r>
      <w:r>
        <w:rPr>
          <w:rFonts w:hint="eastAsia" w:ascii="Times New Roman" w:hAnsi="Times New Roman" w:cs="Times New Roman"/>
          <w:color w:val="auto"/>
          <w:sz w:val="32"/>
          <w:szCs w:val="32"/>
          <w:lang w:val="en-US" w:eastAsia="zh-CN"/>
        </w:rPr>
        <w:t>放火</w:t>
      </w:r>
      <w:r>
        <w:rPr>
          <w:rFonts w:hint="default" w:ascii="Times New Roman" w:hAnsi="Times New Roman" w:eastAsia="仿宋_GB2312" w:cs="Times New Roman"/>
          <w:color w:val="auto"/>
          <w:sz w:val="32"/>
          <w:szCs w:val="32"/>
        </w:rPr>
        <w:t>等严重暴力</w:t>
      </w:r>
      <w:r>
        <w:rPr>
          <w:rFonts w:hint="default" w:ascii="Times New Roman" w:hAnsi="Times New Roman" w:eastAsia="仿宋_GB2312" w:cs="Times New Roman"/>
          <w:b w:val="0"/>
          <w:bCs w:val="0"/>
          <w:color w:val="auto"/>
          <w:sz w:val="32"/>
          <w:szCs w:val="32"/>
          <w:lang w:val="en-US" w:eastAsia="zh-CN"/>
        </w:rPr>
        <w:t>犯罪</w:t>
      </w:r>
      <w:r>
        <w:rPr>
          <w:rFonts w:hint="eastAsia" w:ascii="Times New Roman" w:hAnsi="Times New Roman" w:eastAsia="仿宋_GB2312" w:cs="Times New Roman"/>
          <w:b w:val="0"/>
          <w:bCs w:val="0"/>
          <w:color w:val="auto"/>
          <w:sz w:val="32"/>
          <w:szCs w:val="32"/>
          <w:lang w:val="en-US" w:eastAsia="zh-CN"/>
        </w:rPr>
        <w:t>47件65</w:t>
      </w:r>
      <w:r>
        <w:rPr>
          <w:rFonts w:hint="default" w:ascii="Times New Roman" w:hAnsi="Times New Roman" w:eastAsia="仿宋_GB2312" w:cs="Times New Roman"/>
          <w:b w:val="0"/>
          <w:bCs w:val="0"/>
          <w:color w:val="auto"/>
          <w:sz w:val="32"/>
          <w:szCs w:val="32"/>
          <w:lang w:val="en-US" w:eastAsia="zh-CN"/>
        </w:rPr>
        <w:t>人</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切实维护社会大局稳定，着力惩治</w:t>
      </w:r>
      <w:r>
        <w:rPr>
          <w:rFonts w:hint="eastAsia" w:ascii="Times New Roman" w:hAnsi="Times New Roman" w:eastAsia="仿宋_GB2312" w:cs="Times New Roman"/>
          <w:b w:val="0"/>
          <w:bCs w:val="0"/>
          <w:color w:val="auto"/>
          <w:sz w:val="32"/>
          <w:szCs w:val="32"/>
          <w:lang w:val="en-US" w:eastAsia="zh-CN"/>
        </w:rPr>
        <w:t>人民群众反映强烈的</w:t>
      </w:r>
      <w:r>
        <w:rPr>
          <w:rFonts w:hint="eastAsia" w:ascii="Times New Roman" w:hAnsi="Times New Roman" w:cs="Times New Roman"/>
          <w:b w:val="0"/>
          <w:bCs w:val="0"/>
          <w:color w:val="auto"/>
          <w:sz w:val="32"/>
          <w:szCs w:val="32"/>
          <w:lang w:val="en-US" w:eastAsia="zh-CN"/>
        </w:rPr>
        <w:t>盗窃</w:t>
      </w:r>
      <w:r>
        <w:rPr>
          <w:rFonts w:hint="default" w:ascii="Times New Roman" w:hAnsi="Times New Roman" w:cs="Times New Roman"/>
          <w:b w:val="0"/>
          <w:bCs w:val="0"/>
          <w:color w:val="auto"/>
          <w:kern w:val="2"/>
          <w:sz w:val="32"/>
          <w:szCs w:val="32"/>
          <w:highlight w:val="none"/>
          <w:lang w:val="en-US" w:eastAsia="zh-CN" w:bidi="ar-SA"/>
        </w:rPr>
        <w:t>、</w:t>
      </w:r>
      <w:r>
        <w:rPr>
          <w:rFonts w:hint="default" w:ascii="Times New Roman" w:hAnsi="Times New Roman" w:cs="Times New Roman"/>
          <w:highlight w:val="none"/>
        </w:rPr>
        <w:t>电信网络诈骗</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网络赌博</w:t>
      </w:r>
      <w:r>
        <w:rPr>
          <w:rFonts w:hint="default" w:ascii="Times New Roman" w:hAnsi="Times New Roman" w:cs="Times New Roman"/>
          <w:highlight w:val="none"/>
        </w:rPr>
        <w:t>等犯罪</w:t>
      </w:r>
      <w:r>
        <w:rPr>
          <w:rFonts w:hint="eastAsia" w:ascii="Times New Roman" w:hAnsi="Times New Roman" w:cs="Times New Roman"/>
          <w:highlight w:val="none"/>
          <w:lang w:val="en-US" w:eastAsia="zh-CN"/>
        </w:rPr>
        <w:t>154</w:t>
      </w:r>
      <w:r>
        <w:rPr>
          <w:rFonts w:hint="default" w:ascii="Times New Roman" w:hAnsi="Times New Roman" w:cs="Times New Roman"/>
          <w:highlight w:val="none"/>
        </w:rPr>
        <w:t>件</w:t>
      </w:r>
      <w:r>
        <w:rPr>
          <w:rFonts w:hint="eastAsia" w:ascii="Times New Roman" w:hAnsi="Times New Roman" w:cs="Times New Roman"/>
          <w:highlight w:val="none"/>
          <w:lang w:val="en-US" w:eastAsia="zh-CN"/>
        </w:rPr>
        <w:t>304</w:t>
      </w:r>
      <w:r>
        <w:rPr>
          <w:rFonts w:hint="default" w:ascii="Times New Roman" w:hAnsi="Times New Roman" w:cs="Times New Roman"/>
          <w:highlight w:val="none"/>
        </w:rPr>
        <w:t>人</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办理的“球速体育”跨境网络赌博系列案，涉案金额1042万元，提起公诉14人</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Times New Roman" w:hAnsi="Times New Roman" w:eastAsia="仿宋_GB2312" w:cs="Times New Roman"/>
          <w:b w:val="0"/>
          <w:bCs w:val="0"/>
          <w:color w:val="auto"/>
          <w:kern w:val="2"/>
          <w:sz w:val="32"/>
          <w:szCs w:val="32"/>
          <w:lang w:val="en-US" w:eastAsia="zh-CN" w:bidi="ar-SA"/>
        </w:rPr>
        <w:t>办理的涉菲律宾博彩公司相关人员跨境赌博犯罪系列案件</w:t>
      </w:r>
      <w:r>
        <w:rPr>
          <w:rFonts w:hint="eastAsia" w:ascii="Times New Roman" w:hAnsi="Times New Roman" w:cs="Times New Roman"/>
          <w:b w:val="0"/>
          <w:bCs w:val="0"/>
          <w:color w:val="auto"/>
          <w:kern w:val="2"/>
          <w:sz w:val="32"/>
          <w:szCs w:val="32"/>
          <w:lang w:val="en-US" w:eastAsia="zh-CN" w:bidi="ar-SA"/>
        </w:rPr>
        <w:t>经验做法</w:t>
      </w:r>
      <w:r>
        <w:rPr>
          <w:rFonts w:hint="eastAsia" w:ascii="Times New Roman" w:hAnsi="Times New Roman" w:eastAsia="仿宋_GB2312" w:cs="Times New Roman"/>
          <w:b w:val="0"/>
          <w:bCs w:val="0"/>
          <w:color w:val="auto"/>
          <w:kern w:val="2"/>
          <w:sz w:val="32"/>
          <w:szCs w:val="32"/>
          <w:lang w:val="en-US" w:eastAsia="zh-CN" w:bidi="ar-SA"/>
        </w:rPr>
        <w:t>被</w:t>
      </w:r>
      <w:r>
        <w:rPr>
          <w:rFonts w:hint="default" w:ascii="Times New Roman" w:hAnsi="Times New Roman" w:eastAsia="仿宋_GB2312" w:cs="Times New Roman"/>
          <w:b w:val="0"/>
          <w:bCs w:val="0"/>
          <w:color w:val="auto"/>
          <w:kern w:val="2"/>
          <w:sz w:val="32"/>
          <w:szCs w:val="32"/>
          <w:lang w:val="en-US" w:eastAsia="zh-CN" w:bidi="ar-SA"/>
        </w:rPr>
        <w:t>最高检</w:t>
      </w:r>
      <w:r>
        <w:rPr>
          <w:rFonts w:hint="eastAsia" w:ascii="Times New Roman" w:hAnsi="Times New Roman" w:cs="Times New Roman"/>
          <w:b w:val="0"/>
          <w:bCs w:val="0"/>
          <w:color w:val="auto"/>
          <w:kern w:val="2"/>
          <w:sz w:val="32"/>
          <w:szCs w:val="32"/>
          <w:lang w:val="en-US" w:eastAsia="zh-CN" w:bidi="ar-SA"/>
        </w:rPr>
        <w:t>内</w:t>
      </w:r>
      <w:r>
        <w:rPr>
          <w:rFonts w:hint="default" w:ascii="Times New Roman" w:hAnsi="Times New Roman" w:eastAsia="仿宋_GB2312" w:cs="Times New Roman"/>
          <w:b w:val="0"/>
          <w:bCs w:val="0"/>
          <w:color w:val="auto"/>
          <w:kern w:val="2"/>
          <w:sz w:val="32"/>
          <w:szCs w:val="32"/>
          <w:lang w:val="en-US" w:eastAsia="zh-CN" w:bidi="ar-SA"/>
        </w:rPr>
        <w:t>刊推介</w:t>
      </w:r>
      <w:r>
        <w:rPr>
          <w:rFonts w:hint="eastAsia" w:ascii="Times New Roman" w:hAnsi="Times New Roman" w:cs="Times New Roman"/>
          <w:b w:val="0"/>
          <w:bCs w:val="0"/>
          <w:color w:val="auto"/>
          <w:kern w:val="2"/>
          <w:sz w:val="32"/>
          <w:szCs w:val="32"/>
          <w:lang w:val="en-US" w:eastAsia="zh-CN" w:bidi="ar-SA"/>
        </w:rPr>
        <w:t>。</w:t>
      </w:r>
    </w:p>
    <w:p w14:paraId="27354213">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620" w:lineRule="exact"/>
        <w:ind w:firstLine="643" w:firstLineChars="200"/>
        <w:jc w:val="both"/>
        <w:textAlignment w:val="auto"/>
        <w:rPr>
          <w:rFonts w:hint="default" w:ascii="Times New Roman" w:hAnsi="Times New Roman" w:cs="Times New Roman"/>
          <w:color w:val="C00000"/>
          <w:highlight w:val="none"/>
          <w:lang w:val="en-US" w:eastAsia="zh-CN"/>
        </w:rPr>
      </w:pPr>
      <w:r>
        <w:rPr>
          <w:rFonts w:hint="default" w:ascii="楷体_GB2312" w:hAnsi="楷体_GB2312" w:eastAsia="楷体_GB2312" w:cs="楷体_GB2312"/>
          <w:b/>
          <w:bCs/>
          <w:color w:val="auto"/>
          <w:kern w:val="2"/>
          <w:sz w:val="32"/>
          <w:szCs w:val="32"/>
          <w:highlight w:val="none"/>
          <w:lang w:val="en-US" w:eastAsia="zh-CN" w:bidi="ar-SA"/>
        </w:rPr>
        <w:t>在优化营商环境中依法善为</w:t>
      </w:r>
      <w:r>
        <w:rPr>
          <w:rFonts w:hint="eastAsia" w:ascii="楷体_GB2312" w:hAnsi="楷体_GB2312" w:eastAsia="楷体_GB2312" w:cs="楷体_GB2312"/>
          <w:b/>
          <w:bCs/>
          <w:color w:val="auto"/>
          <w:kern w:val="2"/>
          <w:sz w:val="32"/>
          <w:szCs w:val="32"/>
          <w:highlight w:val="none"/>
          <w:lang w:val="en-US" w:eastAsia="zh-CN" w:bidi="ar-SA"/>
        </w:rPr>
        <w:t>。</w:t>
      </w:r>
      <w:r>
        <w:rPr>
          <w:rFonts w:hint="eastAsia" w:ascii="Times New Roman" w:hAnsi="Times New Roman" w:eastAsia="仿宋_GB2312" w:cs="Times New Roman"/>
          <w:b w:val="0"/>
          <w:bCs w:val="0"/>
          <w:color w:val="auto"/>
          <w:kern w:val="2"/>
          <w:sz w:val="32"/>
          <w:szCs w:val="32"/>
          <w:highlight w:val="none"/>
          <w:lang w:val="en-US" w:eastAsia="zh-CN" w:bidi="ar-SA"/>
        </w:rPr>
        <w:t>依法平等保护各类经营主体合法权益，</w:t>
      </w:r>
      <w:r>
        <w:rPr>
          <w:rFonts w:hint="default" w:ascii="Times New Roman" w:hAnsi="Times New Roman" w:eastAsia="仿宋_GB2312" w:cs="Times New Roman"/>
          <w:b w:val="0"/>
          <w:bCs w:val="0"/>
          <w:color w:val="auto"/>
          <w:kern w:val="2"/>
          <w:sz w:val="32"/>
          <w:szCs w:val="32"/>
          <w:highlight w:val="none"/>
          <w:lang w:val="en-US" w:eastAsia="zh-CN" w:bidi="ar-SA"/>
        </w:rPr>
        <w:t>受理审查起诉涉企案件1</w:t>
      </w:r>
      <w:r>
        <w:rPr>
          <w:rFonts w:hint="eastAsia" w:ascii="Times New Roman" w:hAnsi="Times New Roman" w:eastAsia="仿宋_GB2312" w:cs="Times New Roman"/>
          <w:b w:val="0"/>
          <w:bCs w:val="0"/>
          <w:color w:val="auto"/>
          <w:kern w:val="2"/>
          <w:sz w:val="32"/>
          <w:szCs w:val="32"/>
          <w:highlight w:val="none"/>
          <w:lang w:val="en-US" w:eastAsia="zh-CN" w:bidi="ar-SA"/>
        </w:rPr>
        <w:t>6</w:t>
      </w:r>
      <w:r>
        <w:rPr>
          <w:rFonts w:hint="default" w:ascii="Times New Roman" w:hAnsi="Times New Roman" w:eastAsia="仿宋_GB2312" w:cs="Times New Roman"/>
          <w:b w:val="0"/>
          <w:bCs w:val="0"/>
          <w:color w:val="auto"/>
          <w:kern w:val="2"/>
          <w:sz w:val="32"/>
          <w:szCs w:val="32"/>
          <w:highlight w:val="none"/>
          <w:lang w:val="en-US" w:eastAsia="zh-CN" w:bidi="ar-SA"/>
        </w:rPr>
        <w:t>件，批准逮捕7件8人。严厉打击非法经营、非法吸收公众存款等破坏社会主义市场经济犯罪</w:t>
      </w:r>
      <w:r>
        <w:rPr>
          <w:rFonts w:hint="eastAsia" w:ascii="Times New Roman" w:hAnsi="Times New Roman" w:cs="Times New Roman"/>
          <w:b w:val="0"/>
          <w:bCs w:val="0"/>
          <w:color w:val="auto"/>
          <w:kern w:val="2"/>
          <w:sz w:val="32"/>
          <w:szCs w:val="32"/>
          <w:highlight w:val="none"/>
          <w:lang w:val="en-US" w:eastAsia="zh-CN" w:bidi="ar-SA"/>
        </w:rPr>
        <w:t>17</w:t>
      </w:r>
      <w:r>
        <w:rPr>
          <w:rFonts w:hint="default" w:ascii="Times New Roman" w:hAnsi="Times New Roman" w:eastAsia="仿宋_GB2312" w:cs="Times New Roman"/>
          <w:b w:val="0"/>
          <w:bCs w:val="0"/>
          <w:color w:val="auto"/>
          <w:kern w:val="2"/>
          <w:sz w:val="32"/>
          <w:szCs w:val="32"/>
          <w:highlight w:val="none"/>
          <w:lang w:val="en-US" w:eastAsia="zh-CN" w:bidi="ar-SA"/>
        </w:rPr>
        <w:t>件</w:t>
      </w:r>
      <w:r>
        <w:rPr>
          <w:rFonts w:hint="eastAsia" w:ascii="Times New Roman" w:hAnsi="Times New Roman" w:cs="Times New Roman"/>
          <w:b w:val="0"/>
          <w:bCs w:val="0"/>
          <w:color w:val="auto"/>
          <w:kern w:val="2"/>
          <w:sz w:val="32"/>
          <w:szCs w:val="32"/>
          <w:highlight w:val="none"/>
          <w:lang w:val="en-US" w:eastAsia="zh-CN" w:bidi="ar-SA"/>
        </w:rPr>
        <w:t>42</w:t>
      </w:r>
      <w:r>
        <w:rPr>
          <w:rFonts w:hint="default" w:ascii="Times New Roman" w:hAnsi="Times New Roman" w:eastAsia="仿宋_GB2312" w:cs="Times New Roman"/>
          <w:b w:val="0"/>
          <w:bCs w:val="0"/>
          <w:color w:val="auto"/>
          <w:kern w:val="2"/>
          <w:sz w:val="32"/>
          <w:szCs w:val="32"/>
          <w:highlight w:val="none"/>
          <w:lang w:val="en-US" w:eastAsia="zh-CN" w:bidi="ar-SA"/>
        </w:rPr>
        <w:t>人。成立知识产权办案团队，办理侵犯知识产权犯罪案件</w:t>
      </w:r>
      <w:r>
        <w:rPr>
          <w:rFonts w:hint="eastAsia" w:ascii="Times New Roman" w:hAnsi="Times New Roman" w:eastAsia="仿宋_GB2312" w:cs="Times New Roman"/>
          <w:b w:val="0"/>
          <w:bCs w:val="0"/>
          <w:color w:val="auto"/>
          <w:kern w:val="2"/>
          <w:sz w:val="32"/>
          <w:szCs w:val="32"/>
          <w:highlight w:val="none"/>
          <w:lang w:val="en-US" w:eastAsia="zh-CN" w:bidi="ar-SA"/>
        </w:rPr>
        <w:t>10</w:t>
      </w:r>
      <w:r>
        <w:rPr>
          <w:rFonts w:hint="default" w:ascii="Times New Roman" w:hAnsi="Times New Roman" w:eastAsia="仿宋_GB2312" w:cs="Times New Roman"/>
          <w:b w:val="0"/>
          <w:bCs w:val="0"/>
          <w:color w:val="auto"/>
          <w:kern w:val="2"/>
          <w:sz w:val="32"/>
          <w:szCs w:val="32"/>
          <w:highlight w:val="none"/>
          <w:lang w:val="en-US" w:eastAsia="zh-CN" w:bidi="ar-SA"/>
        </w:rPr>
        <w:t>件</w:t>
      </w:r>
      <w:r>
        <w:rPr>
          <w:rFonts w:hint="eastAsia" w:ascii="Times New Roman" w:hAnsi="Times New Roman" w:eastAsia="仿宋_GB2312" w:cs="Times New Roman"/>
          <w:b w:val="0"/>
          <w:bCs w:val="0"/>
          <w:color w:val="auto"/>
          <w:kern w:val="2"/>
          <w:sz w:val="32"/>
          <w:szCs w:val="32"/>
          <w:highlight w:val="none"/>
          <w:lang w:val="en-US" w:eastAsia="zh-CN" w:bidi="ar-SA"/>
        </w:rPr>
        <w:t>34</w:t>
      </w:r>
      <w:r>
        <w:rPr>
          <w:rFonts w:hint="default" w:ascii="Times New Roman" w:hAnsi="Times New Roman" w:eastAsia="仿宋_GB2312" w:cs="Times New Roman"/>
          <w:b w:val="0"/>
          <w:bCs w:val="0"/>
          <w:color w:val="auto"/>
          <w:kern w:val="2"/>
          <w:sz w:val="32"/>
          <w:szCs w:val="32"/>
          <w:highlight w:val="none"/>
          <w:lang w:val="en-US" w:eastAsia="zh-CN" w:bidi="ar-SA"/>
        </w:rPr>
        <w:t>人</w:t>
      </w:r>
      <w:r>
        <w:rPr>
          <w:rFonts w:hint="eastAsia" w:ascii="Times New Roman" w:hAnsi="Times New Roman" w:eastAsia="仿宋_GB2312" w:cs="Times New Roman"/>
          <w:b w:val="0"/>
          <w:bCs w:val="0"/>
          <w:color w:val="auto"/>
          <w:kern w:val="2"/>
          <w:sz w:val="32"/>
          <w:szCs w:val="32"/>
          <w:highlight w:val="none"/>
          <w:lang w:val="en-US" w:eastAsia="zh-CN" w:bidi="ar-SA"/>
        </w:rPr>
        <w:t>，获评全国查处重大侵权盗版案件有功单位</w:t>
      </w:r>
      <w:r>
        <w:rPr>
          <w:rFonts w:hint="eastAsia" w:ascii="Times New Roman" w:hAnsi="Times New Roman" w:cs="Times New Roman"/>
          <w:b w:val="0"/>
          <w:bCs w:val="0"/>
          <w:color w:val="auto"/>
          <w:kern w:val="2"/>
          <w:sz w:val="32"/>
          <w:szCs w:val="32"/>
          <w:highlight w:val="none"/>
          <w:lang w:val="en-US" w:eastAsia="zh-CN" w:bidi="ar-SA"/>
        </w:rPr>
        <w:t>，3名检察官获评有功个人，办理的覃某等人假冒注册商标案，涉案金额1166万元，提起公诉12人。</w:t>
      </w:r>
    </w:p>
    <w:p w14:paraId="5EF642DD">
      <w:pPr>
        <w:pStyle w:val="10"/>
        <w:keepNext w:val="0"/>
        <w:keepLines w:val="0"/>
        <w:pageBreakBefore w:val="0"/>
        <w:widowControl w:val="0"/>
        <w:kinsoku/>
        <w:wordWrap/>
        <w:overflowPunct/>
        <w:topLinePunct w:val="0"/>
        <w:autoSpaceDE/>
        <w:autoSpaceDN/>
        <w:bidi w:val="0"/>
        <w:adjustRightInd/>
        <w:snapToGrid/>
        <w:spacing w:beforeAutospacing="0" w:after="0" w:afterAutospacing="0" w:line="620" w:lineRule="exact"/>
        <w:ind w:firstLine="643" w:firstLineChars="200"/>
        <w:textAlignment w:val="auto"/>
        <w:rPr>
          <w:rFonts w:hint="default" w:ascii="Times New Roman" w:hAnsi="Times New Roman" w:cs="Times New Roman"/>
          <w:highlight w:val="none"/>
          <w:lang w:val="en-US" w:eastAsia="zh-CN"/>
        </w:rPr>
      </w:pPr>
      <w:r>
        <w:rPr>
          <w:rFonts w:hint="default" w:ascii="楷体_GB2312" w:hAnsi="楷体_GB2312" w:eastAsia="楷体_GB2312" w:cs="楷体_GB2312"/>
          <w:b/>
          <w:bCs/>
          <w:color w:val="auto"/>
          <w:kern w:val="2"/>
          <w:sz w:val="32"/>
          <w:szCs w:val="32"/>
          <w:highlight w:val="none"/>
          <w:lang w:val="en-US" w:eastAsia="zh-CN" w:bidi="ar-SA"/>
        </w:rPr>
        <w:t>在</w:t>
      </w:r>
      <w:r>
        <w:rPr>
          <w:rFonts w:hint="eastAsia" w:ascii="楷体_GB2312" w:hAnsi="楷体_GB2312" w:eastAsia="楷体_GB2312" w:cs="楷体_GB2312"/>
          <w:b/>
          <w:bCs/>
          <w:color w:val="auto"/>
          <w:kern w:val="2"/>
          <w:sz w:val="32"/>
          <w:szCs w:val="32"/>
          <w:highlight w:val="none"/>
          <w:lang w:val="en-US" w:eastAsia="zh-CN" w:bidi="ar-SA"/>
        </w:rPr>
        <w:t>推进反腐倡廉</w:t>
      </w:r>
      <w:r>
        <w:rPr>
          <w:rFonts w:hint="default" w:ascii="楷体_GB2312" w:hAnsi="楷体_GB2312" w:eastAsia="楷体_GB2312" w:cs="楷体_GB2312"/>
          <w:b/>
          <w:bCs/>
          <w:color w:val="auto"/>
          <w:kern w:val="2"/>
          <w:sz w:val="32"/>
          <w:szCs w:val="32"/>
          <w:highlight w:val="none"/>
          <w:lang w:val="en-US" w:eastAsia="zh-CN" w:bidi="ar-SA"/>
        </w:rPr>
        <w:t>中</w:t>
      </w:r>
      <w:r>
        <w:rPr>
          <w:rFonts w:hint="eastAsia" w:ascii="楷体_GB2312" w:hAnsi="楷体_GB2312" w:eastAsia="楷体_GB2312" w:cs="楷体_GB2312"/>
          <w:b/>
          <w:bCs/>
          <w:color w:val="auto"/>
          <w:kern w:val="2"/>
          <w:sz w:val="32"/>
          <w:szCs w:val="32"/>
          <w:highlight w:val="none"/>
          <w:lang w:val="en-US" w:eastAsia="zh-CN" w:bidi="ar-SA"/>
        </w:rPr>
        <w:t>亮剑敢</w:t>
      </w:r>
      <w:r>
        <w:rPr>
          <w:rFonts w:hint="default" w:ascii="楷体_GB2312" w:hAnsi="楷体_GB2312" w:eastAsia="楷体_GB2312" w:cs="楷体_GB2312"/>
          <w:b/>
          <w:bCs/>
          <w:color w:val="auto"/>
          <w:kern w:val="2"/>
          <w:sz w:val="32"/>
          <w:szCs w:val="32"/>
          <w:highlight w:val="none"/>
          <w:lang w:val="en-US" w:eastAsia="zh-CN" w:bidi="ar-SA"/>
        </w:rPr>
        <w:t>为</w:t>
      </w:r>
      <w:r>
        <w:rPr>
          <w:rFonts w:hint="eastAsia" w:ascii="楷体_GB2312" w:hAnsi="楷体_GB2312" w:eastAsia="楷体_GB2312" w:cs="楷体_GB2312"/>
          <w:b/>
          <w:bCs/>
          <w:color w:val="auto"/>
          <w:kern w:val="2"/>
          <w:sz w:val="32"/>
          <w:szCs w:val="32"/>
          <w:highlight w:val="none"/>
          <w:lang w:val="en-US" w:eastAsia="zh-CN" w:bidi="ar-SA"/>
        </w:rPr>
        <w:t>。</w:t>
      </w:r>
      <w:r>
        <w:rPr>
          <w:rFonts w:hint="eastAsia" w:ascii="Times New Roman" w:hAnsi="Times New Roman" w:cs="Times New Roman"/>
          <w:b w:val="0"/>
          <w:bCs w:val="0"/>
          <w:sz w:val="32"/>
          <w:szCs w:val="32"/>
          <w:highlight w:val="none"/>
          <w:lang w:val="en-US" w:eastAsia="zh-CN"/>
        </w:rPr>
        <w:t>加强监检衔接和配合制约，提前介入职务犯罪案件13件。起诉职务犯罪案件8件8人，办理了湖南省桃源县人大常委会原党组书记、主任魏岳林、桃源县政协原党组书记、主席董莉莉等一批在本地有重大影响的案件。协同惩治国企、医疗、殡葬等重点领域腐败犯罪4人，办理了常德市殡葬事务中心原主任沈勇受贿、单位受贿、行贿案。坚决惩治群众身边的“蝇贪蚁腐”，提起公诉的十美堂镇村账乡代理中心原会计韩黎挪用资金案，被判处有期徒刑10年6个月。落实受贿行贿一起查，起诉行贿犯罪2人，均判处实刑。</w:t>
      </w:r>
    </w:p>
    <w:p w14:paraId="6D3E4912">
      <w:pPr>
        <w:pStyle w:val="5"/>
        <w:keepNext w:val="0"/>
        <w:keepLines w:val="0"/>
        <w:pageBreakBefore w:val="0"/>
        <w:widowControl w:val="0"/>
        <w:kinsoku/>
        <w:wordWrap/>
        <w:overflowPunct/>
        <w:topLinePunct w:val="0"/>
        <w:autoSpaceDE/>
        <w:autoSpaceDN/>
        <w:bidi w:val="0"/>
        <w:adjustRightInd/>
        <w:snapToGrid/>
        <w:spacing w:after="0" w:afterLines="0" w:line="620" w:lineRule="exact"/>
        <w:ind w:firstLine="640" w:firstLineChars="200"/>
        <w:textAlignment w:val="auto"/>
        <w:rPr>
          <w:rFonts w:hint="default" w:ascii="Times New Roman" w:hAnsi="Times New Roman" w:cs="Times New Roman"/>
          <w:highlight w:val="none"/>
          <w:lang w:val="en-US" w:eastAsia="zh-CN"/>
        </w:rPr>
      </w:pPr>
      <w:r>
        <w:rPr>
          <w:rFonts w:hint="eastAsia" w:ascii="黑体" w:hAnsi="黑体" w:eastAsia="黑体" w:cs="黑体"/>
          <w:color w:val="auto"/>
          <w:sz w:val="32"/>
          <w:szCs w:val="32"/>
          <w:highlight w:val="none"/>
          <w:lang w:val="en-US" w:eastAsia="zh-CN"/>
        </w:rPr>
        <w:t>二、站稳司法为民立场，全力守护民生福祉</w:t>
      </w:r>
    </w:p>
    <w:p w14:paraId="616B64A5">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620" w:lineRule="exact"/>
        <w:ind w:firstLine="643" w:firstLineChars="200"/>
        <w:jc w:val="both"/>
        <w:textAlignment w:val="auto"/>
        <w:rPr>
          <w:rFonts w:hint="default" w:ascii="Times New Roman" w:hAnsi="Times New Roman" w:cs="Times New Roman"/>
          <w:highlight w:val="none"/>
          <w:lang w:val="en-US" w:eastAsia="zh-CN"/>
        </w:rPr>
      </w:pPr>
      <w:r>
        <w:rPr>
          <w:rFonts w:hint="default" w:ascii="楷体_GB2312" w:hAnsi="楷体_GB2312" w:eastAsia="楷体_GB2312" w:cs="楷体_GB2312"/>
          <w:b/>
          <w:bCs/>
          <w:color w:val="auto"/>
          <w:kern w:val="2"/>
          <w:sz w:val="32"/>
          <w:szCs w:val="32"/>
          <w:highlight w:val="none"/>
          <w:lang w:val="en-US" w:eastAsia="zh-CN" w:bidi="ar-SA"/>
        </w:rPr>
        <w:t>以“枝叶关情”之心维护群众合法权益</w:t>
      </w:r>
      <w:r>
        <w:rPr>
          <w:rFonts w:hint="eastAsia" w:ascii="楷体_GB2312" w:hAnsi="楷体_GB2312" w:eastAsia="楷体_GB2312" w:cs="楷体_GB2312"/>
          <w:b/>
          <w:bCs/>
          <w:color w:val="auto"/>
          <w:kern w:val="2"/>
          <w:sz w:val="32"/>
          <w:szCs w:val="32"/>
          <w:highlight w:val="none"/>
          <w:lang w:val="en-US" w:eastAsia="zh-CN" w:bidi="ar-SA"/>
        </w:rPr>
        <w:t>。</w:t>
      </w:r>
      <w:r>
        <w:rPr>
          <w:rFonts w:hint="eastAsia"/>
          <w:color w:val="auto"/>
        </w:rPr>
        <w:t>积极开展“检护民生”专项行动，严厉打击涉</w:t>
      </w:r>
      <w:r>
        <w:rPr>
          <w:rFonts w:hint="eastAsia" w:ascii="Times New Roman" w:hAnsi="Times New Roman" w:eastAsia="仿宋_GB2312" w:cs="Times New Roman"/>
          <w:kern w:val="0"/>
          <w:sz w:val="32"/>
          <w:szCs w:val="36"/>
          <w:highlight w:val="none"/>
          <w:lang w:val="en-US" w:eastAsia="zh-CN" w:bidi="ar"/>
        </w:rPr>
        <w:t>食品药品安全犯罪，起诉4件7人，办理涉养老领域诈骗非法吸收公众存款案件3件32人</w:t>
      </w:r>
      <w:r>
        <w:rPr>
          <w:rFonts w:hint="eastAsia" w:ascii="Times New Roman" w:hAnsi="Times New Roman" w:cs="Times New Roman"/>
          <w:kern w:val="0"/>
          <w:sz w:val="32"/>
          <w:szCs w:val="36"/>
          <w:highlight w:val="none"/>
          <w:lang w:val="en-US" w:eastAsia="zh-CN" w:bidi="ar"/>
        </w:rPr>
        <w:t>，挽回经济损失300余万元</w:t>
      </w:r>
      <w:r>
        <w:rPr>
          <w:rFonts w:hint="eastAsia" w:ascii="Times New Roman" w:hAnsi="Times New Roman" w:eastAsia="仿宋_GB2312" w:cs="Times New Roman"/>
          <w:kern w:val="0"/>
          <w:sz w:val="32"/>
          <w:szCs w:val="36"/>
          <w:highlight w:val="none"/>
          <w:lang w:val="en-US" w:eastAsia="zh-CN" w:bidi="ar"/>
        </w:rPr>
        <w:t>。针对辖区内非法捕捞水产品、河道被占用等问题，统筹协调环保、水利、属地乡镇，推进排查行动6次，</w:t>
      </w:r>
      <w:r>
        <w:rPr>
          <w:rFonts w:hint="eastAsia" w:ascii="Times New Roman" w:hAnsi="Times New Roman" w:cs="Times New Roman"/>
          <w:kern w:val="0"/>
          <w:sz w:val="32"/>
          <w:szCs w:val="36"/>
          <w:highlight w:val="none"/>
          <w:lang w:val="en-US" w:eastAsia="zh-CN" w:bidi="ar"/>
        </w:rPr>
        <w:t>切实保护河道生态环境</w:t>
      </w:r>
      <w:r>
        <w:rPr>
          <w:rFonts w:hint="default" w:ascii="Times New Roman" w:hAnsi="Times New Roman" w:eastAsia="仿宋_GB2312" w:cs="Times New Roman"/>
          <w:kern w:val="0"/>
          <w:sz w:val="32"/>
          <w:szCs w:val="36"/>
          <w:highlight w:val="none"/>
          <w:lang w:val="en-US" w:eastAsia="zh-CN" w:bidi="ar"/>
        </w:rPr>
        <w:t>。</w:t>
      </w:r>
      <w:r>
        <w:rPr>
          <w:rFonts w:hint="eastAsia" w:ascii="Times New Roman" w:hAnsi="Times New Roman" w:cs="Times New Roman"/>
          <w:sz w:val="32"/>
          <w:szCs w:val="32"/>
          <w:highlight w:val="none"/>
          <w:lang w:val="en-US" w:eastAsia="zh-CN"/>
        </w:rPr>
        <w:t>与区政府联合</w:t>
      </w:r>
      <w:r>
        <w:rPr>
          <w:rFonts w:hint="default" w:ascii="Times New Roman" w:hAnsi="Times New Roman" w:cs="Times New Roman"/>
          <w:sz w:val="32"/>
          <w:szCs w:val="32"/>
          <w:highlight w:val="none"/>
          <w:lang w:val="en-US" w:eastAsia="zh-CN"/>
        </w:rPr>
        <w:t>建立</w:t>
      </w:r>
      <w:r>
        <w:rPr>
          <w:rFonts w:hint="eastAsia" w:ascii="Times New Roman" w:hAnsi="Times New Roman" w:cs="Times New Roman"/>
          <w:sz w:val="32"/>
          <w:szCs w:val="32"/>
          <w:highlight w:val="none"/>
          <w:lang w:val="en-US" w:eastAsia="zh-CN"/>
        </w:rPr>
        <w:t>“</w:t>
      </w:r>
      <w:r>
        <w:rPr>
          <w:rFonts w:hint="default" w:ascii="Times New Roman" w:hAnsi="Times New Roman" w:cs="Times New Roman"/>
          <w:sz w:val="32"/>
          <w:szCs w:val="32"/>
          <w:highlight w:val="none"/>
          <w:lang w:val="en-US" w:eastAsia="zh-CN"/>
        </w:rPr>
        <w:t>府检联动</w:t>
      </w:r>
      <w:r>
        <w:rPr>
          <w:rFonts w:hint="eastAsia" w:ascii="Times New Roman" w:hAnsi="Times New Roman" w:cs="Times New Roman"/>
          <w:sz w:val="32"/>
          <w:szCs w:val="32"/>
          <w:highlight w:val="none"/>
          <w:lang w:val="en-US" w:eastAsia="zh-CN"/>
        </w:rPr>
        <w:t>”</w:t>
      </w:r>
      <w:r>
        <w:rPr>
          <w:rFonts w:hint="default" w:ascii="Times New Roman" w:hAnsi="Times New Roman" w:cs="Times New Roman"/>
          <w:sz w:val="32"/>
          <w:szCs w:val="32"/>
          <w:highlight w:val="none"/>
          <w:lang w:val="en-US" w:eastAsia="zh-CN"/>
        </w:rPr>
        <w:t>机制，聚焦优化法治化营商环境、加强民生领域法治保障等方面</w:t>
      </w:r>
      <w:r>
        <w:rPr>
          <w:rFonts w:hint="eastAsia" w:ascii="Times New Roman" w:hAnsi="Times New Roman" w:cs="Times New Roman"/>
          <w:sz w:val="32"/>
          <w:szCs w:val="32"/>
          <w:highlight w:val="none"/>
          <w:lang w:val="en-US" w:eastAsia="zh-CN"/>
        </w:rPr>
        <w:t>协作共赢，相关</w:t>
      </w:r>
      <w:r>
        <w:rPr>
          <w:rFonts w:hint="default" w:ascii="Times New Roman" w:hAnsi="Times New Roman" w:cs="Times New Roman"/>
          <w:sz w:val="32"/>
          <w:szCs w:val="32"/>
          <w:highlight w:val="none"/>
          <w:lang w:val="en-US" w:eastAsia="zh-CN"/>
        </w:rPr>
        <w:t>工作经验被省检察院推介。</w:t>
      </w:r>
    </w:p>
    <w:p w14:paraId="77238CEB">
      <w:pPr>
        <w:pStyle w:val="5"/>
        <w:keepNext w:val="0"/>
        <w:keepLines w:val="0"/>
        <w:pageBreakBefore w:val="0"/>
        <w:widowControl w:val="0"/>
        <w:kinsoku/>
        <w:wordWrap/>
        <w:overflowPunct/>
        <w:topLinePunct w:val="0"/>
        <w:autoSpaceDE/>
        <w:autoSpaceDN/>
        <w:bidi w:val="0"/>
        <w:adjustRightInd/>
        <w:snapToGrid/>
        <w:spacing w:after="0" w:afterLines="0" w:line="620" w:lineRule="exact"/>
        <w:ind w:firstLine="643" w:firstLineChars="200"/>
        <w:textAlignment w:val="auto"/>
        <w:rPr>
          <w:rFonts w:hint="default" w:ascii="Times New Roman" w:hAnsi="Times New Roman" w:cs="Times New Roman"/>
          <w:highlight w:val="none"/>
          <w:lang w:val="en-US" w:eastAsia="zh-CN"/>
        </w:rPr>
      </w:pPr>
      <w:r>
        <w:rPr>
          <w:rFonts w:hint="default" w:ascii="楷体_GB2312" w:hAnsi="楷体_GB2312" w:eastAsia="楷体_GB2312" w:cs="楷体_GB2312"/>
          <w:b/>
          <w:bCs/>
          <w:color w:val="auto"/>
          <w:kern w:val="2"/>
          <w:sz w:val="32"/>
          <w:szCs w:val="32"/>
          <w:highlight w:val="none"/>
          <w:lang w:val="en-US" w:eastAsia="zh-CN" w:bidi="ar-SA"/>
        </w:rPr>
        <w:t>以“如我在诉”之心回应群众法治诉求</w:t>
      </w:r>
      <w:r>
        <w:rPr>
          <w:rFonts w:hint="eastAsia" w:ascii="楷体_GB2312" w:hAnsi="楷体_GB2312" w:eastAsia="楷体_GB2312" w:cs="楷体_GB2312"/>
          <w:b/>
          <w:bCs/>
          <w:color w:val="auto"/>
          <w:kern w:val="2"/>
          <w:sz w:val="32"/>
          <w:szCs w:val="32"/>
          <w:highlight w:val="none"/>
          <w:lang w:val="en-US" w:eastAsia="zh-CN" w:bidi="ar-SA"/>
        </w:rPr>
        <w:t>。</w:t>
      </w:r>
      <w:r>
        <w:rPr>
          <w:rFonts w:hint="eastAsia" w:ascii="Times New Roman" w:hAnsi="Times New Roman" w:cs="Times New Roman"/>
          <w:highlight w:val="none"/>
          <w:lang w:val="en-US" w:eastAsia="zh-CN"/>
        </w:rPr>
        <w:t>坚持和发展新时代“枫桥经验”，扎实开展“化解矛盾风险 维护社会稳定”专项治理，</w:t>
      </w:r>
      <w:r>
        <w:rPr>
          <w:rFonts w:hint="default" w:ascii="Times New Roman" w:hAnsi="Times New Roman" w:eastAsia="仿宋_GB2312" w:cs="Times New Roman"/>
          <w:sz w:val="32"/>
          <w:szCs w:val="32"/>
          <w:highlight w:val="none"/>
          <w:lang w:val="en-US" w:eastAsia="zh-CN"/>
        </w:rPr>
        <w:t>接待群众来信来访</w:t>
      </w:r>
      <w:r>
        <w:rPr>
          <w:rFonts w:hint="eastAsia" w:ascii="Times New Roman" w:hAnsi="Times New Roman" w:cs="Times New Roman"/>
          <w:sz w:val="32"/>
          <w:szCs w:val="32"/>
          <w:highlight w:val="none"/>
          <w:lang w:val="en-US" w:eastAsia="zh-CN"/>
        </w:rPr>
        <w:t>144</w:t>
      </w:r>
      <w:r>
        <w:rPr>
          <w:rFonts w:hint="default" w:ascii="Times New Roman" w:hAnsi="Times New Roman" w:eastAsia="仿宋_GB2312" w:cs="Times New Roman"/>
          <w:sz w:val="32"/>
          <w:szCs w:val="32"/>
          <w:highlight w:val="none"/>
          <w:lang w:val="en-US" w:eastAsia="zh-CN"/>
        </w:rPr>
        <w:t>件</w:t>
      </w:r>
      <w:r>
        <w:rPr>
          <w:rFonts w:hint="eastAsia" w:ascii="Times New Roman" w:hAnsi="Times New Roman" w:cs="Times New Roman"/>
          <w:sz w:val="32"/>
          <w:szCs w:val="32"/>
          <w:highlight w:val="none"/>
          <w:lang w:val="en-US" w:eastAsia="zh-CN"/>
        </w:rPr>
        <w:t>160</w:t>
      </w:r>
      <w:r>
        <w:rPr>
          <w:rFonts w:hint="default" w:ascii="Times New Roman" w:hAnsi="Times New Roman" w:eastAsia="仿宋_GB2312" w:cs="Times New Roman"/>
          <w:sz w:val="32"/>
          <w:szCs w:val="32"/>
          <w:highlight w:val="none"/>
          <w:lang w:val="en-US" w:eastAsia="zh-CN"/>
        </w:rPr>
        <w:t>人次，组织检察长接待日</w:t>
      </w:r>
      <w:r>
        <w:rPr>
          <w:rFonts w:hint="eastAsia" w:ascii="Times New Roman" w:hAnsi="Times New Roman" w:cs="Times New Roman"/>
          <w:sz w:val="32"/>
          <w:szCs w:val="32"/>
          <w:highlight w:val="none"/>
          <w:lang w:val="en-US" w:eastAsia="zh-CN"/>
        </w:rPr>
        <w:t>49</w:t>
      </w:r>
      <w:r>
        <w:rPr>
          <w:rFonts w:hint="default" w:ascii="Times New Roman" w:hAnsi="Times New Roman" w:eastAsia="仿宋_GB2312" w:cs="Times New Roman"/>
          <w:sz w:val="32"/>
          <w:szCs w:val="32"/>
          <w:highlight w:val="none"/>
          <w:lang w:val="en-US" w:eastAsia="zh-CN"/>
        </w:rPr>
        <w:t>次，群众来</w:t>
      </w:r>
      <w:r>
        <w:rPr>
          <w:rFonts w:hint="default" w:ascii="Times New Roman" w:hAnsi="Times New Roman" w:cs="Times New Roman"/>
          <w:sz w:val="32"/>
          <w:szCs w:val="32"/>
          <w:highlight w:val="none"/>
          <w:lang w:val="en-US" w:eastAsia="zh-CN"/>
        </w:rPr>
        <w:t>信</w:t>
      </w:r>
      <w:r>
        <w:rPr>
          <w:rFonts w:hint="default" w:ascii="Times New Roman" w:hAnsi="Times New Roman" w:eastAsia="仿宋_GB2312" w:cs="Times New Roman"/>
          <w:sz w:val="32"/>
          <w:szCs w:val="32"/>
          <w:highlight w:val="none"/>
          <w:lang w:val="en-US" w:eastAsia="zh-CN"/>
        </w:rPr>
        <w:t>来访导入法律程序</w:t>
      </w:r>
      <w:r>
        <w:rPr>
          <w:rFonts w:hint="eastAsia" w:ascii="Times New Roman" w:hAnsi="Times New Roman" w:cs="Times New Roman"/>
          <w:sz w:val="32"/>
          <w:szCs w:val="32"/>
          <w:highlight w:val="none"/>
          <w:lang w:val="en-US" w:eastAsia="zh-CN"/>
        </w:rPr>
        <w:t>30</w:t>
      </w:r>
      <w:r>
        <w:rPr>
          <w:rFonts w:hint="default" w:ascii="Times New Roman" w:hAnsi="Times New Roman" w:eastAsia="仿宋_GB2312" w:cs="Times New Roman"/>
          <w:sz w:val="32"/>
          <w:szCs w:val="32"/>
          <w:highlight w:val="none"/>
          <w:lang w:val="en-US" w:eastAsia="zh-CN"/>
        </w:rPr>
        <w:t>件</w:t>
      </w:r>
      <w:r>
        <w:rPr>
          <w:rFonts w:hint="eastAsia" w:ascii="Times New Roman" w:hAnsi="Times New Roman" w:cs="Times New Roman"/>
          <w:sz w:val="32"/>
          <w:szCs w:val="32"/>
          <w:highlight w:val="none"/>
          <w:lang w:val="en-US" w:eastAsia="zh-CN"/>
        </w:rPr>
        <w:t>，8件矛盾风险案件全部办结</w:t>
      </w:r>
      <w:r>
        <w:rPr>
          <w:rFonts w:hint="default"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办理申请国家司法救助案件</w:t>
      </w:r>
      <w:r>
        <w:rPr>
          <w:rFonts w:hint="eastAsia" w:ascii="Times New Roman" w:hAnsi="Times New Roman" w:cs="Times New Roman"/>
          <w:sz w:val="32"/>
          <w:szCs w:val="32"/>
          <w:highlight w:val="none"/>
          <w:lang w:val="en-US" w:eastAsia="zh-CN"/>
        </w:rPr>
        <w:t>7</w:t>
      </w:r>
      <w:r>
        <w:rPr>
          <w:rFonts w:hint="default" w:ascii="Times New Roman" w:hAnsi="Times New Roman" w:eastAsia="仿宋_GB2312" w:cs="Times New Roman"/>
          <w:sz w:val="32"/>
          <w:szCs w:val="32"/>
          <w:highlight w:val="none"/>
          <w:lang w:val="en-US" w:eastAsia="zh-CN"/>
        </w:rPr>
        <w:t>件</w:t>
      </w:r>
      <w:r>
        <w:rPr>
          <w:rFonts w:hint="eastAsia" w:ascii="Times New Roman" w:hAnsi="Times New Roman"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人，发放国家司法救助金</w:t>
      </w:r>
      <w:r>
        <w:rPr>
          <w:rFonts w:hint="eastAsia" w:ascii="Times New Roman" w:hAnsi="Times New Roman"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.4万元。办理的徐某英国家司法救助案获评全省司法救助协作典型案例。</w:t>
      </w:r>
    </w:p>
    <w:p w14:paraId="5AEAC4D9">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620" w:lineRule="exact"/>
        <w:ind w:firstLine="643" w:firstLineChars="200"/>
        <w:jc w:val="both"/>
        <w:textAlignment w:val="auto"/>
        <w:rPr>
          <w:rFonts w:hint="default" w:ascii="Times New Roman" w:hAnsi="Times New Roman" w:cs="Times New Roman"/>
          <w:highlight w:val="none"/>
          <w:lang w:val="en-US" w:eastAsia="zh-CN"/>
        </w:rPr>
      </w:pPr>
      <w:r>
        <w:rPr>
          <w:rFonts w:hint="default" w:ascii="楷体_GB2312" w:hAnsi="楷体_GB2312" w:eastAsia="楷体_GB2312" w:cs="楷体_GB2312"/>
          <w:b/>
          <w:bCs/>
          <w:color w:val="auto"/>
          <w:kern w:val="2"/>
          <w:sz w:val="32"/>
          <w:szCs w:val="32"/>
          <w:highlight w:val="none"/>
          <w:lang w:val="en-US" w:eastAsia="zh-CN" w:bidi="ar-SA"/>
        </w:rPr>
        <w:t>以“同为父母”之心深化未成年人综合保护</w:t>
      </w:r>
      <w:r>
        <w:rPr>
          <w:rFonts w:hint="eastAsia" w:ascii="楷体_GB2312" w:hAnsi="楷体_GB2312" w:eastAsia="楷体_GB2312" w:cs="楷体_GB2312"/>
          <w:b/>
          <w:bCs/>
          <w:color w:val="auto"/>
          <w:kern w:val="2"/>
          <w:sz w:val="32"/>
          <w:szCs w:val="32"/>
          <w:highlight w:val="none"/>
          <w:lang w:val="en-US" w:eastAsia="zh-CN" w:bidi="ar-SA"/>
        </w:rPr>
        <w:t>。</w:t>
      </w:r>
      <w:r>
        <w:rPr>
          <w:rFonts w:hint="eastAsia" w:ascii="Times New Roman" w:hAnsi="Times New Roman" w:cs="Times New Roman"/>
          <w:highlight w:val="none"/>
          <w:lang w:val="en-US" w:eastAsia="zh-CN"/>
        </w:rPr>
        <w:t>深入推进“利剑护蕾·雷霆行动”，</w:t>
      </w:r>
      <w:r>
        <w:rPr>
          <w:rFonts w:hint="default" w:ascii="Times New Roman" w:hAnsi="Times New Roman" w:eastAsia="仿宋_GB2312" w:cs="Times New Roman"/>
          <w:sz w:val="32"/>
          <w:szCs w:val="32"/>
          <w:highlight w:val="none"/>
          <w:lang w:val="en-US" w:eastAsia="zh-CN"/>
        </w:rPr>
        <w:t>以</w:t>
      </w:r>
      <w:r>
        <w:rPr>
          <w:rFonts w:hint="eastAsia"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零容忍</w:t>
      </w:r>
      <w:r>
        <w:rPr>
          <w:rFonts w:hint="eastAsia"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态度严惩性侵害未成年人犯罪</w:t>
      </w:r>
      <w:r>
        <w:rPr>
          <w:rFonts w:hint="default" w:ascii="Times New Roman" w:hAnsi="Times New Roman" w:cs="Times New Roman"/>
          <w:sz w:val="32"/>
          <w:szCs w:val="32"/>
          <w:highlight w:val="none"/>
          <w:lang w:val="en-US" w:eastAsia="zh-CN"/>
        </w:rPr>
        <w:t>，批捕</w:t>
      </w:r>
      <w:r>
        <w:rPr>
          <w:rFonts w:hint="eastAsia" w:ascii="Times New Roman" w:hAnsi="Times New Roman" w:cs="Times New Roman"/>
          <w:sz w:val="32"/>
          <w:szCs w:val="32"/>
          <w:highlight w:val="none"/>
          <w:lang w:val="en-US" w:eastAsia="zh-CN"/>
        </w:rPr>
        <w:t>18</w:t>
      </w:r>
      <w:r>
        <w:rPr>
          <w:rFonts w:hint="default" w:ascii="Times New Roman" w:hAnsi="Times New Roman" w:cs="Times New Roman"/>
          <w:sz w:val="32"/>
          <w:szCs w:val="32"/>
          <w:highlight w:val="none"/>
          <w:lang w:val="en-US" w:eastAsia="zh-CN"/>
        </w:rPr>
        <w:t>人，起诉</w:t>
      </w:r>
      <w:r>
        <w:rPr>
          <w:rFonts w:hint="eastAsia" w:ascii="Times New Roman" w:hAnsi="Times New Roman" w:cs="Times New Roman"/>
          <w:sz w:val="32"/>
          <w:szCs w:val="32"/>
          <w:highlight w:val="none"/>
          <w:lang w:val="en-US" w:eastAsia="zh-CN"/>
        </w:rPr>
        <w:t>16</w:t>
      </w:r>
      <w:r>
        <w:rPr>
          <w:rFonts w:hint="default" w:ascii="Times New Roman" w:hAnsi="Times New Roman" w:cs="Times New Roman"/>
          <w:sz w:val="32"/>
          <w:szCs w:val="32"/>
          <w:highlight w:val="none"/>
          <w:lang w:val="en-US" w:eastAsia="zh-CN"/>
        </w:rPr>
        <w:t>人</w:t>
      </w:r>
      <w:r>
        <w:rPr>
          <w:rFonts w:hint="eastAsia" w:ascii="Times New Roman" w:hAnsi="Times New Roman" w:cs="Times New Roman"/>
          <w:sz w:val="32"/>
          <w:szCs w:val="32"/>
          <w:highlight w:val="none"/>
          <w:lang w:val="en-US" w:eastAsia="zh-CN"/>
        </w:rPr>
        <w:t>，对1起监护人性侵案件开展撤销监护权监督，对2名严重侵害未成年人人身权利的被告人提出十年以上有期徒刑量刑建议，均获法院采纳。坚持“教育、感化、挽救”方针，不批捕涉罪未成年人9人，不起诉20人，附条件不起诉8人。联合湖南文理学院研发标准化、多样化法治教育课件，达到中小学法治宣讲全覆盖。</w:t>
      </w:r>
      <w:r>
        <w:rPr>
          <w:rFonts w:hint="default" w:ascii="Times New Roman" w:hAnsi="Times New Roman" w:eastAsia="仿宋_GB2312" w:cs="Times New Roman"/>
          <w:color w:val="auto"/>
          <w:spacing w:val="0"/>
          <w:kern w:val="0"/>
          <w:sz w:val="32"/>
          <w:szCs w:val="32"/>
          <w:highlight w:val="none"/>
          <w:u w:val="none"/>
          <w:lang w:val="en-US" w:eastAsia="zh-CN" w:bidi="ar"/>
        </w:rPr>
        <w:t>推动法治副校长实职化履职，</w:t>
      </w:r>
      <w:r>
        <w:rPr>
          <w:rFonts w:hint="eastAsia" w:ascii="Times New Roman" w:hAnsi="Times New Roman" w:cs="Times New Roman"/>
          <w:color w:val="auto"/>
          <w:spacing w:val="0"/>
          <w:kern w:val="0"/>
          <w:sz w:val="32"/>
          <w:szCs w:val="32"/>
          <w:highlight w:val="none"/>
          <w:u w:val="none"/>
          <w:lang w:val="en-US" w:eastAsia="zh-CN" w:bidi="ar"/>
        </w:rPr>
        <w:t>聚焦偏远乡镇地区，</w:t>
      </w:r>
      <w:r>
        <w:rPr>
          <w:rFonts w:hint="default" w:ascii="Times New Roman" w:hAnsi="Times New Roman" w:eastAsia="仿宋_GB2312" w:cs="Times New Roman"/>
          <w:sz w:val="32"/>
          <w:szCs w:val="32"/>
          <w:highlight w:val="none"/>
          <w:lang w:val="en-US" w:eastAsia="zh-CN"/>
        </w:rPr>
        <w:t>开展法治进校园等各类法治宣传活动2</w:t>
      </w:r>
      <w:r>
        <w:rPr>
          <w:rFonts w:hint="eastAsia" w:ascii="Times New Roman" w:hAnsi="Times New Roman" w:cs="Times New Roman"/>
          <w:sz w:val="32"/>
          <w:szCs w:val="32"/>
          <w:highlight w:val="none"/>
          <w:lang w:val="en-US" w:eastAsia="zh-CN"/>
        </w:rPr>
        <w:t>4</w:t>
      </w:r>
      <w:r>
        <w:rPr>
          <w:rFonts w:hint="default" w:ascii="Times New Roman" w:hAnsi="Times New Roman" w:eastAsia="仿宋_GB2312" w:cs="Times New Roman"/>
          <w:sz w:val="32"/>
          <w:szCs w:val="32"/>
          <w:highlight w:val="none"/>
          <w:lang w:val="en-US" w:eastAsia="zh-CN"/>
        </w:rPr>
        <w:t>场次，</w:t>
      </w:r>
      <w:r>
        <w:rPr>
          <w:rFonts w:hint="eastAsia" w:ascii="Times New Roman" w:hAnsi="Times New Roman" w:cs="Times New Roman"/>
          <w:sz w:val="32"/>
          <w:szCs w:val="32"/>
          <w:highlight w:val="none"/>
          <w:lang w:val="en-US" w:eastAsia="zh-CN"/>
        </w:rPr>
        <w:t>受众15</w:t>
      </w:r>
      <w:r>
        <w:rPr>
          <w:rFonts w:hint="default" w:ascii="Times New Roman" w:hAnsi="Times New Roman" w:eastAsia="仿宋_GB2312" w:cs="Times New Roman"/>
          <w:sz w:val="32"/>
          <w:szCs w:val="32"/>
          <w:highlight w:val="none"/>
          <w:lang w:val="en-US" w:eastAsia="zh-CN"/>
        </w:rPr>
        <w:t>000余人。</w:t>
      </w:r>
    </w:p>
    <w:p w14:paraId="6C8486FD">
      <w:pPr>
        <w:pStyle w:val="5"/>
        <w:keepNext w:val="0"/>
        <w:keepLines w:val="0"/>
        <w:pageBreakBefore w:val="0"/>
        <w:widowControl w:val="0"/>
        <w:kinsoku/>
        <w:wordWrap/>
        <w:overflowPunct/>
        <w:topLinePunct w:val="0"/>
        <w:autoSpaceDE/>
        <w:autoSpaceDN/>
        <w:bidi w:val="0"/>
        <w:adjustRightInd/>
        <w:snapToGrid/>
        <w:spacing w:after="0" w:afterLines="0" w:line="620" w:lineRule="exact"/>
        <w:ind w:firstLine="640" w:firstLineChars="200"/>
        <w:textAlignment w:val="auto"/>
        <w:rPr>
          <w:rFonts w:hint="default" w:ascii="Times New Roman" w:hAnsi="Times New Roman" w:cs="Times New Roman"/>
          <w:highlight w:val="none"/>
          <w:lang w:val="en-US" w:eastAsia="zh-CN"/>
        </w:rPr>
      </w:pPr>
      <w:r>
        <w:rPr>
          <w:rFonts w:hint="eastAsia" w:ascii="黑体" w:hAnsi="黑体" w:eastAsia="黑体" w:cs="黑体"/>
          <w:color w:val="auto"/>
          <w:sz w:val="32"/>
          <w:szCs w:val="32"/>
          <w:highlight w:val="none"/>
          <w:lang w:val="en-US" w:eastAsia="zh-CN"/>
        </w:rPr>
        <w:t>三、提升法律监督质效，全力维护公平正义</w:t>
      </w:r>
    </w:p>
    <w:p w14:paraId="173177AD">
      <w:pPr>
        <w:keepNext w:val="0"/>
        <w:keepLines w:val="0"/>
        <w:pageBreakBefore w:val="0"/>
        <w:widowControl w:val="0"/>
        <w:kinsoku/>
        <w:wordWrap/>
        <w:overflowPunct/>
        <w:topLinePunct w:val="0"/>
        <w:autoSpaceDE/>
        <w:autoSpaceDN/>
        <w:bidi w:val="0"/>
        <w:adjustRightInd/>
        <w:snapToGrid/>
        <w:spacing w:line="620" w:lineRule="exact"/>
        <w:ind w:firstLine="643" w:firstLineChars="200"/>
        <w:textAlignment w:val="auto"/>
        <w:rPr>
          <w:rFonts w:hint="default" w:ascii="Times New Roman" w:hAnsi="Times New Roman" w:cs="Times New Roman"/>
          <w:highlight w:val="none"/>
          <w:lang w:val="en-US" w:eastAsia="zh-CN"/>
        </w:rPr>
      </w:pPr>
      <w:r>
        <w:rPr>
          <w:rFonts w:hint="default" w:ascii="楷体_GB2312" w:hAnsi="楷体_GB2312" w:eastAsia="楷体_GB2312" w:cs="楷体_GB2312"/>
          <w:b/>
          <w:bCs/>
          <w:color w:val="auto"/>
          <w:kern w:val="2"/>
          <w:sz w:val="32"/>
          <w:szCs w:val="32"/>
          <w:highlight w:val="none"/>
          <w:lang w:val="en-US" w:eastAsia="zh-CN" w:bidi="ar-SA"/>
        </w:rPr>
        <w:t>刑事检察向“优”升级</w:t>
      </w:r>
      <w:r>
        <w:rPr>
          <w:rFonts w:hint="eastAsia" w:ascii="楷体_GB2312" w:hAnsi="楷体_GB2312" w:eastAsia="楷体_GB2312" w:cs="楷体_GB2312"/>
          <w:b/>
          <w:bCs/>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提前介入重大疑难复杂案件24起，监督侦查机关立案、撤案22件，清理刑事</w:t>
      </w:r>
      <w:r>
        <w:rPr>
          <w:rFonts w:hint="eastAsia"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挂案</w:t>
      </w:r>
      <w:r>
        <w:rPr>
          <w:rFonts w:hint="eastAsia"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15件，纠正漏捕漏诉9人，书面纠正侦查活动违法73次。纠正刑事审判和执行活动违法5次，对判处实刑未收监执行的7名罪犯监督收监执行。加强看守所、社区矫正机构等监管场所的刑事执行监督，提出监督意见72条。延伸法律监督，助推醇基燃料行业综合治理，办理的易某某危险作业案，被评为全国检察机关依法办理危险作业刑事案件典型案例。</w:t>
      </w:r>
    </w:p>
    <w:p w14:paraId="04B57679">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620" w:lineRule="exact"/>
        <w:ind w:firstLine="643" w:firstLineChars="200"/>
        <w:jc w:val="both"/>
        <w:textAlignment w:val="auto"/>
        <w:rPr>
          <w:rFonts w:hint="default" w:ascii="Times New Roman" w:hAnsi="Times New Roman" w:cs="Times New Roman"/>
          <w:highlight w:val="none"/>
          <w:lang w:val="en-US" w:eastAsia="zh-CN"/>
        </w:rPr>
      </w:pPr>
      <w:r>
        <w:rPr>
          <w:rFonts w:hint="default" w:ascii="楷体_GB2312" w:hAnsi="楷体_GB2312" w:eastAsia="楷体_GB2312" w:cs="楷体_GB2312"/>
          <w:b/>
          <w:bCs/>
          <w:color w:val="auto"/>
          <w:kern w:val="2"/>
          <w:sz w:val="32"/>
          <w:szCs w:val="32"/>
          <w:highlight w:val="none"/>
          <w:lang w:val="en-US" w:eastAsia="zh-CN" w:bidi="ar-SA"/>
        </w:rPr>
        <w:t>民事检察向“强”推进</w:t>
      </w:r>
      <w:r>
        <w:rPr>
          <w:rFonts w:hint="eastAsia" w:ascii="楷体_GB2312" w:hAnsi="楷体_GB2312" w:eastAsia="楷体_GB2312" w:cs="楷体_GB2312"/>
          <w:b/>
          <w:bCs/>
          <w:color w:val="auto"/>
          <w:kern w:val="2"/>
          <w:sz w:val="32"/>
          <w:szCs w:val="32"/>
          <w:highlight w:val="none"/>
          <w:lang w:val="en-US" w:eastAsia="zh-CN" w:bidi="ar-SA"/>
        </w:rPr>
        <w:t>。</w:t>
      </w:r>
      <w:r>
        <w:rPr>
          <w:rFonts w:hint="eastAsia" w:ascii="仿宋_GB2312" w:hAnsi="仿宋_GB2312" w:eastAsia="仿宋_GB2312" w:cs="仿宋_GB2312"/>
          <w:color w:val="000000"/>
          <w:sz w:val="32"/>
          <w:szCs w:val="32"/>
          <w:lang w:eastAsia="zh-CN"/>
        </w:rPr>
        <w:t>认真落实人大代表关于</w:t>
      </w:r>
      <w:r>
        <w:rPr>
          <w:rFonts w:hint="eastAsia" w:ascii="仿宋_GB2312" w:hAnsi="仿宋_GB2312" w:eastAsia="仿宋_GB2312" w:cs="仿宋_GB2312"/>
          <w:color w:val="000000"/>
          <w:sz w:val="32"/>
          <w:szCs w:val="32"/>
        </w:rPr>
        <w:t>共享执行信息的建议</w:t>
      </w:r>
      <w:r>
        <w:rPr>
          <w:rFonts w:hint="eastAsia" w:ascii="仿宋_GB2312" w:hAnsi="仿宋_GB2312" w:eastAsia="仿宋_GB2312" w:cs="仿宋_GB2312"/>
          <w:color w:val="000000"/>
          <w:sz w:val="32"/>
          <w:szCs w:val="32"/>
          <w:lang w:eastAsia="zh-CN"/>
        </w:rPr>
        <w:t>，联合区法院出台</w:t>
      </w:r>
      <w:r>
        <w:rPr>
          <w:rFonts w:hint="eastAsia" w:ascii="仿宋_GB2312" w:hAnsi="仿宋_GB2312" w:eastAsia="仿宋_GB2312" w:cs="仿宋_GB2312"/>
          <w:color w:val="000000"/>
          <w:sz w:val="32"/>
          <w:szCs w:val="32"/>
        </w:rPr>
        <w:t>《加强民事执行协作工作联席会会议纪要》</w:t>
      </w:r>
      <w:r>
        <w:rPr>
          <w:rFonts w:hint="eastAsia" w:ascii="仿宋_GB2312" w:hAnsi="仿宋_GB2312" w:eastAsia="仿宋_GB2312" w:cs="仿宋_GB2312"/>
          <w:color w:val="000000"/>
          <w:sz w:val="32"/>
          <w:szCs w:val="32"/>
          <w:lang w:eastAsia="zh-CN"/>
        </w:rPr>
        <w:t>，建立健全执行</w:t>
      </w:r>
      <w:r>
        <w:rPr>
          <w:rFonts w:hint="eastAsia" w:ascii="仿宋_GB2312" w:hAnsi="仿宋_GB2312" w:eastAsia="仿宋_GB2312" w:cs="仿宋_GB2312"/>
          <w:color w:val="000000"/>
          <w:sz w:val="32"/>
          <w:szCs w:val="32"/>
        </w:rPr>
        <w:t>案件信息共享</w:t>
      </w:r>
      <w:r>
        <w:rPr>
          <w:rFonts w:hint="eastAsia" w:ascii="仿宋_GB2312" w:hAnsi="仿宋_GB2312" w:eastAsia="仿宋_GB2312" w:cs="仿宋_GB2312"/>
          <w:color w:val="000000"/>
          <w:sz w:val="32"/>
          <w:szCs w:val="32"/>
          <w:lang w:eastAsia="zh-CN"/>
        </w:rPr>
        <w:t>与</w:t>
      </w:r>
      <w:r>
        <w:rPr>
          <w:rFonts w:hint="eastAsia" w:ascii="仿宋_GB2312" w:hAnsi="仿宋_GB2312" w:eastAsia="仿宋_GB2312" w:cs="仿宋_GB2312"/>
          <w:color w:val="000000"/>
          <w:sz w:val="32"/>
          <w:szCs w:val="32"/>
        </w:rPr>
        <w:t>重点案件抽查机制</w:t>
      </w:r>
      <w:r>
        <w:rPr>
          <w:rFonts w:hint="eastAsia" w:ascii="仿宋_GB2312" w:hAnsi="仿宋_GB2312" w:eastAsia="仿宋_GB2312" w:cs="仿宋_GB2312"/>
          <w:color w:val="000000"/>
          <w:sz w:val="32"/>
          <w:szCs w:val="32"/>
          <w:lang w:eastAsia="zh-CN"/>
        </w:rPr>
        <w:t>，</w:t>
      </w:r>
      <w:r>
        <w:rPr>
          <w:rFonts w:hint="eastAsia" w:ascii="仿宋_GB2312" w:hAnsi="仿宋_GB2312" w:cs="仿宋_GB2312"/>
          <w:color w:val="000000"/>
          <w:sz w:val="32"/>
          <w:szCs w:val="32"/>
          <w:lang w:val="en-US" w:eastAsia="zh-CN"/>
        </w:rPr>
        <w:t>办理</w:t>
      </w:r>
      <w:r>
        <w:rPr>
          <w:rFonts w:hint="eastAsia" w:ascii="仿宋_GB2312" w:hAnsi="仿宋_GB2312" w:eastAsia="仿宋_GB2312" w:cs="仿宋_GB2312"/>
          <w:color w:val="000000"/>
          <w:sz w:val="32"/>
          <w:szCs w:val="32"/>
          <w:lang w:val="en-US" w:eastAsia="zh-CN"/>
        </w:rPr>
        <w:t>执行监督案件</w:t>
      </w:r>
      <w:r>
        <w:rPr>
          <w:rFonts w:hint="eastAsia" w:ascii="Times New Roman" w:hAnsi="Times New Roman"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lang w:val="en-US" w:eastAsia="zh-CN"/>
        </w:rPr>
        <w:t>件</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lang w:val="en-US" w:eastAsia="zh-CN"/>
        </w:rPr>
        <w:t>提出再审检察建议</w:t>
      </w:r>
      <w:r>
        <w:rPr>
          <w:rFonts w:hint="eastAsia" w:ascii="Times New Roman" w:hAnsi="Times New Roman" w:eastAsia="仿宋_GB2312" w:cs="仿宋_GB2312"/>
          <w:sz w:val="32"/>
          <w:szCs w:val="32"/>
          <w:lang w:val="en-US" w:eastAsia="zh-CN"/>
        </w:rPr>
        <w:t>2</w:t>
      </w:r>
      <w:r>
        <w:rPr>
          <w:rFonts w:hint="eastAsia" w:ascii="仿宋_GB2312" w:hAnsi="仿宋_GB2312" w:eastAsia="仿宋_GB2312" w:cs="仿宋_GB2312"/>
          <w:sz w:val="32"/>
          <w:szCs w:val="32"/>
          <w:lang w:val="en-US" w:eastAsia="zh-CN"/>
        </w:rPr>
        <w:t>件，获法院采纳并改判</w:t>
      </w:r>
      <w:r>
        <w:rPr>
          <w:rFonts w:hint="eastAsia" w:ascii="Times New Roman" w:hAnsi="Times New Roman" w:eastAsia="仿宋_GB2312" w:cs="仿宋_GB2312"/>
          <w:sz w:val="32"/>
          <w:szCs w:val="32"/>
          <w:lang w:val="en-US" w:eastAsia="zh-CN"/>
        </w:rPr>
        <w:t>2</w:t>
      </w:r>
      <w:r>
        <w:rPr>
          <w:rFonts w:hint="eastAsia" w:ascii="仿宋_GB2312" w:hAnsi="仿宋_GB2312" w:eastAsia="仿宋_GB2312" w:cs="仿宋_GB2312"/>
          <w:sz w:val="32"/>
          <w:szCs w:val="32"/>
          <w:lang w:val="en-US" w:eastAsia="zh-CN"/>
        </w:rPr>
        <w:t>件。对民事审判、执行活动违法情形监督纠正</w:t>
      </w:r>
      <w:r>
        <w:rPr>
          <w:rFonts w:hint="eastAsia" w:ascii="Times New Roman" w:hAnsi="Times New Roman" w:eastAsia="仿宋_GB2312" w:cs="仿宋_GB2312"/>
          <w:sz w:val="32"/>
          <w:szCs w:val="32"/>
          <w:lang w:val="en-US" w:eastAsia="zh-CN"/>
        </w:rPr>
        <w:t>62</w:t>
      </w:r>
      <w:r>
        <w:rPr>
          <w:rFonts w:hint="eastAsia" w:ascii="仿宋_GB2312" w:hAnsi="仿宋_GB2312" w:eastAsia="仿宋_GB2312" w:cs="仿宋_GB2312"/>
          <w:sz w:val="32"/>
          <w:szCs w:val="32"/>
          <w:lang w:val="en-US" w:eastAsia="zh-CN"/>
        </w:rPr>
        <w:t>件。</w:t>
      </w:r>
      <w:r>
        <w:rPr>
          <w:rFonts w:hint="eastAsia" w:ascii="仿宋_GB2312" w:hAnsi="仿宋_GB2312" w:eastAsia="仿宋_GB2312" w:cs="Arial"/>
          <w:color w:val="000000"/>
          <w:sz w:val="32"/>
          <w:szCs w:val="32"/>
          <w:lang w:val="en-US" w:eastAsia="zh-CN"/>
        </w:rPr>
        <w:t>办理的魏某与常德市鼎城区供销合作社联合社财产损害赔偿纠纷生效裁判监督一案，</w:t>
      </w:r>
      <w:r>
        <w:rPr>
          <w:rFonts w:hint="eastAsia" w:ascii="仿宋_GB2312" w:hAnsi="仿宋_GB2312" w:eastAsia="仿宋_GB2312" w:cs="仿宋_GB2312"/>
          <w:sz w:val="32"/>
          <w:szCs w:val="32"/>
          <w:lang w:val="en-US" w:eastAsia="zh-CN"/>
        </w:rPr>
        <w:t>促成双方达成和解，</w:t>
      </w:r>
      <w:r>
        <w:rPr>
          <w:rFonts w:hint="eastAsia" w:ascii="仿宋_GB2312" w:hAnsi="仿宋_GB2312" w:eastAsia="仿宋_GB2312"/>
          <w:color w:val="000000"/>
          <w:sz w:val="32"/>
          <w:szCs w:val="32"/>
        </w:rPr>
        <w:t>维护了</w:t>
      </w:r>
      <w:r>
        <w:rPr>
          <w:rFonts w:hint="eastAsia" w:ascii="仿宋_GB2312" w:hAnsi="仿宋_GB2312" w:eastAsia="仿宋_GB2312"/>
          <w:color w:val="000000"/>
          <w:sz w:val="32"/>
          <w:szCs w:val="32"/>
          <w:lang w:eastAsia="zh-CN"/>
        </w:rPr>
        <w:t>退休职工合法权益</w:t>
      </w:r>
      <w:r>
        <w:rPr>
          <w:rFonts w:hint="eastAsia" w:ascii="仿宋_GB2312" w:hAnsi="仿宋_GB2312"/>
          <w:color w:val="000000"/>
          <w:sz w:val="32"/>
          <w:szCs w:val="32"/>
          <w:lang w:eastAsia="zh-CN"/>
        </w:rPr>
        <w:t>，</w:t>
      </w:r>
      <w:r>
        <w:rPr>
          <w:rFonts w:hint="eastAsia" w:ascii="仿宋_GB2312" w:hAnsi="仿宋_GB2312" w:eastAsia="仿宋_GB2312" w:cs="仿宋_GB2312"/>
          <w:sz w:val="32"/>
          <w:szCs w:val="32"/>
          <w:lang w:val="en-US" w:eastAsia="zh-CN"/>
        </w:rPr>
        <w:t>获《检</w:t>
      </w:r>
      <w:r>
        <w:rPr>
          <w:rFonts w:hint="eastAsia" w:ascii="仿宋_GB2312" w:hAnsi="仿宋_GB2312" w:eastAsia="仿宋_GB2312"/>
          <w:color w:val="000000"/>
          <w:sz w:val="32"/>
          <w:szCs w:val="32"/>
        </w:rPr>
        <w:t>察日报》</w:t>
      </w:r>
      <w:r>
        <w:rPr>
          <w:rFonts w:hint="eastAsia" w:ascii="仿宋_GB2312" w:hAnsi="仿宋_GB2312" w:eastAsia="仿宋_GB2312"/>
          <w:color w:val="000000"/>
          <w:sz w:val="32"/>
          <w:szCs w:val="32"/>
          <w:lang w:eastAsia="zh-CN"/>
        </w:rPr>
        <w:t>宣传</w:t>
      </w:r>
      <w:r>
        <w:rPr>
          <w:rFonts w:hint="eastAsia" w:ascii="仿宋_GB2312" w:hAnsi="仿宋_GB2312"/>
          <w:color w:val="000000"/>
          <w:sz w:val="32"/>
          <w:szCs w:val="32"/>
          <w:lang w:val="en-US" w:eastAsia="zh-CN"/>
        </w:rPr>
        <w:t>推介</w:t>
      </w:r>
      <w:r>
        <w:rPr>
          <w:rFonts w:hint="eastAsia" w:ascii="仿宋_GB2312" w:hAnsi="仿宋_GB2312" w:eastAsia="仿宋_GB2312"/>
          <w:color w:val="000000"/>
          <w:sz w:val="32"/>
          <w:szCs w:val="32"/>
          <w:lang w:eastAsia="zh-CN"/>
        </w:rPr>
        <w:t>。</w:t>
      </w:r>
    </w:p>
    <w:p w14:paraId="4E78B3E1">
      <w:pPr>
        <w:pStyle w:val="2"/>
        <w:keepNext w:val="0"/>
        <w:keepLines w:val="0"/>
        <w:pageBreakBefore w:val="0"/>
        <w:widowControl w:val="0"/>
        <w:kinsoku/>
        <w:wordWrap/>
        <w:overflowPunct/>
        <w:topLinePunct w:val="0"/>
        <w:autoSpaceDE/>
        <w:autoSpaceDN/>
        <w:bidi w:val="0"/>
        <w:adjustRightInd/>
        <w:snapToGrid/>
        <w:spacing w:after="0" w:line="620" w:lineRule="exact"/>
        <w:ind w:left="0" w:leftChars="0" w:firstLine="643" w:firstLineChars="200"/>
        <w:textAlignment w:val="auto"/>
        <w:rPr>
          <w:rFonts w:hint="eastAsia" w:eastAsia="仿宋_GB2312" w:cs="仿宋_GB2312"/>
          <w:color w:val="000000"/>
          <w:sz w:val="32"/>
          <w:szCs w:val="32"/>
          <w:lang w:val="en-US" w:eastAsia="zh-CN"/>
        </w:rPr>
      </w:pPr>
      <w:r>
        <w:rPr>
          <w:rFonts w:hint="default" w:ascii="楷体_GB2312" w:hAnsi="楷体_GB2312" w:eastAsia="楷体_GB2312" w:cs="楷体_GB2312"/>
          <w:b/>
          <w:bCs/>
          <w:color w:val="auto"/>
          <w:kern w:val="2"/>
          <w:sz w:val="32"/>
          <w:szCs w:val="32"/>
          <w:highlight w:val="none"/>
          <w:lang w:val="en-US" w:eastAsia="zh-CN" w:bidi="ar-SA"/>
        </w:rPr>
        <w:t>行政检察向“实”发力</w:t>
      </w:r>
      <w:r>
        <w:rPr>
          <w:rFonts w:hint="eastAsia" w:ascii="楷体_GB2312" w:hAnsi="楷体_GB2312" w:eastAsia="楷体_GB2312" w:cs="楷体_GB2312"/>
          <w:b/>
          <w:bCs/>
          <w:color w:val="auto"/>
          <w:kern w:val="2"/>
          <w:sz w:val="32"/>
          <w:szCs w:val="32"/>
          <w:highlight w:val="none"/>
          <w:lang w:val="en-US" w:eastAsia="zh-CN" w:bidi="ar-SA"/>
        </w:rPr>
        <w:t>。</w:t>
      </w:r>
      <w:r>
        <w:rPr>
          <w:rFonts w:hint="eastAsia" w:ascii="仿宋_GB2312" w:hAnsi="仿宋_GB2312" w:eastAsia="仿宋_GB2312" w:cs="仿宋_GB2312"/>
          <w:sz w:val="32"/>
          <w:szCs w:val="32"/>
          <w:lang w:val="en-US" w:eastAsia="zh-CN"/>
        </w:rPr>
        <w:t>围绕行政处罚、行政审判和执行活动违法等领域，办理各类行政检察案件</w:t>
      </w:r>
      <w:r>
        <w:rPr>
          <w:rFonts w:hint="eastAsia" w:ascii="Times New Roman" w:hAnsi="Times New Roman" w:eastAsia="仿宋_GB2312" w:cs="仿宋_GB2312"/>
          <w:sz w:val="32"/>
          <w:szCs w:val="32"/>
          <w:lang w:val="en-US" w:eastAsia="zh-CN"/>
        </w:rPr>
        <w:t>22</w:t>
      </w:r>
      <w:r>
        <w:rPr>
          <w:rFonts w:hint="eastAsia" w:ascii="仿宋_GB2312" w:hAnsi="仿宋_GB2312" w:eastAsia="仿宋_GB2312" w:cs="仿宋_GB2312"/>
          <w:sz w:val="32"/>
          <w:szCs w:val="32"/>
          <w:lang w:val="en-US" w:eastAsia="zh-CN"/>
        </w:rPr>
        <w:t>件。其中万某与常德市交通警察支队直属二大队罚款及行政复议检察监督一案，提请抗诉后双方当事人达成和解，相关部门完善免检车辆未申领检验合格标志的处罚细则，</w:t>
      </w:r>
      <w:r>
        <w:rPr>
          <w:rFonts w:hint="eastAsia" w:eastAsia="仿宋_GB2312" w:cs="仿宋_GB2312"/>
          <w:color w:val="000000"/>
          <w:sz w:val="32"/>
          <w:szCs w:val="32"/>
          <w:lang w:eastAsia="zh-CN"/>
        </w:rPr>
        <w:t>实现</w:t>
      </w:r>
      <w:r>
        <w:rPr>
          <w:rFonts w:hint="eastAsia" w:ascii="Times New Roman" w:hAnsi="Times New Roman" w:eastAsia="仿宋_GB2312" w:cs="仿宋_GB2312"/>
          <w:color w:val="000000"/>
          <w:sz w:val="32"/>
          <w:szCs w:val="32"/>
          <w:lang w:eastAsia="zh-CN"/>
        </w:rPr>
        <w:t>个案办理与促进社会治理相统一</w:t>
      </w:r>
      <w:r>
        <w:rPr>
          <w:rFonts w:hint="eastAsia" w:eastAsia="仿宋_GB2312" w:cs="仿宋_GB2312"/>
          <w:color w:val="000000"/>
          <w:sz w:val="32"/>
          <w:szCs w:val="32"/>
          <w:lang w:eastAsia="zh-CN"/>
        </w:rPr>
        <w:t>。协同行政机关推进行政执法与刑事司法衔接，</w:t>
      </w:r>
      <w:r>
        <w:rPr>
          <w:rFonts w:hint="eastAsia" w:ascii="Times New Roman" w:hAnsi="Times New Roman" w:eastAsia="仿宋_GB2312" w:cs="仿宋_GB2312"/>
          <w:color w:val="000000"/>
          <w:sz w:val="32"/>
          <w:szCs w:val="32"/>
          <w:lang w:val="en-US" w:eastAsia="zh-CN"/>
        </w:rPr>
        <w:t>2025</w:t>
      </w:r>
      <w:r>
        <w:rPr>
          <w:rFonts w:hint="eastAsia" w:eastAsia="仿宋_GB2312" w:cs="仿宋_GB2312"/>
          <w:color w:val="000000"/>
          <w:sz w:val="32"/>
          <w:szCs w:val="32"/>
          <w:lang w:val="en-US" w:eastAsia="zh-CN"/>
        </w:rPr>
        <w:t>年以来，区公安局的行刑反向衔接案件处罚率达到</w:t>
      </w:r>
      <w:r>
        <w:rPr>
          <w:rFonts w:hint="eastAsia" w:ascii="Times New Roman" w:hAnsi="Times New Roman" w:eastAsia="仿宋_GB2312" w:cs="仿宋_GB2312"/>
          <w:color w:val="000000"/>
          <w:sz w:val="32"/>
          <w:szCs w:val="32"/>
          <w:lang w:val="en-US" w:eastAsia="zh-CN"/>
        </w:rPr>
        <w:t>100</w:t>
      </w:r>
      <w:r>
        <w:rPr>
          <w:rFonts w:hint="eastAsia" w:eastAsia="仿宋_GB2312" w:cs="仿宋_GB2312"/>
          <w:color w:val="000000"/>
          <w:sz w:val="32"/>
          <w:szCs w:val="32"/>
          <w:lang w:val="en-US" w:eastAsia="zh-CN"/>
        </w:rPr>
        <w:t>%。没收违法所得共计</w:t>
      </w:r>
      <w:r>
        <w:rPr>
          <w:rFonts w:hint="eastAsia" w:ascii="Times New Roman" w:hAnsi="Times New Roman" w:eastAsia="仿宋_GB2312" w:cs="仿宋_GB2312"/>
          <w:color w:val="000000"/>
          <w:sz w:val="32"/>
          <w:szCs w:val="32"/>
          <w:lang w:val="en-US" w:eastAsia="zh-CN"/>
        </w:rPr>
        <w:t>301</w:t>
      </w:r>
      <w:r>
        <w:rPr>
          <w:rFonts w:hint="eastAsia"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2</w:t>
      </w:r>
      <w:r>
        <w:rPr>
          <w:rFonts w:hint="eastAsia" w:eastAsia="仿宋_GB2312" w:cs="仿宋_GB2312"/>
          <w:color w:val="000000"/>
          <w:sz w:val="32"/>
          <w:szCs w:val="32"/>
          <w:lang w:val="en-US" w:eastAsia="zh-CN"/>
        </w:rPr>
        <w:t>万元，罚款共计</w:t>
      </w:r>
      <w:r>
        <w:rPr>
          <w:rFonts w:hint="eastAsia" w:ascii="Times New Roman" w:hAnsi="Times New Roman" w:eastAsia="仿宋_GB2312" w:cs="仿宋_GB2312"/>
          <w:color w:val="000000"/>
          <w:sz w:val="32"/>
          <w:szCs w:val="32"/>
          <w:lang w:val="en-US" w:eastAsia="zh-CN"/>
        </w:rPr>
        <w:t>31</w:t>
      </w:r>
      <w:r>
        <w:rPr>
          <w:rFonts w:hint="eastAsia"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8</w:t>
      </w:r>
      <w:r>
        <w:rPr>
          <w:rFonts w:hint="eastAsia" w:eastAsia="仿宋_GB2312" w:cs="仿宋_GB2312"/>
          <w:color w:val="000000"/>
          <w:sz w:val="32"/>
          <w:szCs w:val="32"/>
          <w:lang w:val="en-US" w:eastAsia="zh-CN"/>
        </w:rPr>
        <w:t>万元，初步解决“不刑又不罚”问题。</w:t>
      </w:r>
    </w:p>
    <w:p w14:paraId="0E1AF343">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620" w:lineRule="exact"/>
        <w:ind w:firstLine="643" w:firstLineChars="200"/>
        <w:jc w:val="both"/>
        <w:textAlignment w:val="auto"/>
        <w:rPr>
          <w:rFonts w:hint="default" w:ascii="Times New Roman" w:hAnsi="Times New Roman" w:cs="Times New Roman"/>
          <w:highlight w:val="none"/>
          <w:lang w:val="en-US" w:eastAsia="zh-CN"/>
        </w:rPr>
      </w:pPr>
      <w:r>
        <w:rPr>
          <w:rFonts w:hint="default" w:ascii="楷体_GB2312" w:hAnsi="楷体_GB2312" w:eastAsia="楷体_GB2312" w:cs="楷体_GB2312"/>
          <w:b/>
          <w:bCs/>
          <w:color w:val="auto"/>
          <w:kern w:val="2"/>
          <w:sz w:val="32"/>
          <w:szCs w:val="32"/>
          <w:highlight w:val="none"/>
          <w:lang w:val="en-US" w:eastAsia="zh-CN" w:bidi="ar-SA"/>
        </w:rPr>
        <w:t>公益诉讼向“好”发展</w:t>
      </w:r>
      <w:r>
        <w:rPr>
          <w:rFonts w:hint="eastAsia" w:ascii="楷体_GB2312" w:hAnsi="楷体_GB2312" w:eastAsia="楷体_GB2312" w:cs="楷体_GB2312"/>
          <w:b/>
          <w:bCs/>
          <w:color w:val="auto"/>
          <w:kern w:val="2"/>
          <w:sz w:val="32"/>
          <w:szCs w:val="32"/>
          <w:highlight w:val="none"/>
          <w:lang w:val="en-US" w:eastAsia="zh-CN" w:bidi="ar-SA"/>
        </w:rPr>
        <w:t>。</w:t>
      </w:r>
      <w:r>
        <w:rPr>
          <w:rFonts w:hint="eastAsia" w:ascii="Times New Roman" w:hAnsi="Times New Roman" w:cs="Times New Roman"/>
          <w:sz w:val="32"/>
          <w:szCs w:val="32"/>
          <w:highlight w:val="none"/>
          <w:lang w:val="en-US" w:eastAsia="zh-CN"/>
        </w:rPr>
        <w:t>聚焦食品药品安全、生态环境和资源保护、国有财产、安全生产等多个领域共办理公益诉讼案件45件，发出审前检察建议32份。通过开展公职人员“带薪受刑罚”专项活动挽回国有财产损失6万余元。办理执业药师“挂证”案件，督促辖区内4家药店进行整改，确保执业药师在岗履职，并对“挂证”的执业药师进行处罚，有效规范了药品经营秩序与药师执业行为。</w:t>
      </w:r>
    </w:p>
    <w:p w14:paraId="7C9E277B">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620" w:lineRule="exact"/>
        <w:ind w:firstLine="643"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default" w:ascii="楷体_GB2312" w:hAnsi="楷体_GB2312" w:eastAsia="楷体_GB2312" w:cs="楷体_GB2312"/>
          <w:b/>
          <w:bCs/>
          <w:color w:val="auto"/>
          <w:kern w:val="2"/>
          <w:sz w:val="32"/>
          <w:szCs w:val="32"/>
          <w:highlight w:val="none"/>
          <w:lang w:val="en-US" w:eastAsia="zh-CN" w:bidi="ar-SA"/>
        </w:rPr>
        <w:t>数字检察向“精”深耕</w:t>
      </w:r>
      <w:r>
        <w:rPr>
          <w:rFonts w:hint="eastAsia" w:ascii="楷体_GB2312" w:hAnsi="楷体_GB2312" w:eastAsia="楷体_GB2312" w:cs="楷体_GB2312"/>
          <w:b/>
          <w:bCs/>
          <w:color w:val="auto"/>
          <w:kern w:val="2"/>
          <w:sz w:val="32"/>
          <w:szCs w:val="32"/>
          <w:highlight w:val="none"/>
          <w:lang w:val="en-US" w:eastAsia="zh-CN" w:bidi="ar-SA"/>
        </w:rPr>
        <w:t>。</w:t>
      </w:r>
      <w:r>
        <w:rPr>
          <w:rFonts w:hint="default" w:ascii="Times New Roman" w:hAnsi="Times New Roman" w:eastAsia="仿宋_GB2312" w:cs="Times New Roman"/>
          <w:sz w:val="32"/>
          <w:szCs w:val="32"/>
          <w:highlight w:val="none"/>
          <w:lang w:val="en-US" w:eastAsia="zh-CN"/>
        </w:rPr>
        <w:t>锚定数字检察</w:t>
      </w:r>
      <w:r>
        <w:rPr>
          <w:rFonts w:hint="eastAsia"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deepseek</w:t>
      </w:r>
      <w:r>
        <w:rPr>
          <w:rFonts w:hint="eastAsia"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本地化部署</w:t>
      </w:r>
      <w:r>
        <w:rPr>
          <w:rFonts w:hint="default" w:ascii="Times New Roman" w:hAnsi="Times New Roman"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大力推动</w:t>
      </w:r>
      <w:r>
        <w:rPr>
          <w:rFonts w:hint="default" w:ascii="Times New Roman" w:hAnsi="Times New Roman" w:eastAsia="仿宋_GB2312" w:cs="Times New Roman"/>
          <w:sz w:val="32"/>
          <w:szCs w:val="32"/>
          <w:highlight w:val="none"/>
          <w:lang w:val="en" w:eastAsia="zh-CN"/>
        </w:rPr>
        <w:t>重点场所违规接待未成年人</w:t>
      </w:r>
      <w:r>
        <w:rPr>
          <w:rFonts w:hint="eastAsia" w:ascii="Times New Roman" w:hAnsi="Times New Roman" w:cs="Times New Roman"/>
          <w:sz w:val="32"/>
          <w:szCs w:val="32"/>
          <w:highlight w:val="none"/>
          <w:lang w:val="en-US" w:eastAsia="zh-CN"/>
        </w:rPr>
        <w:t>等</w:t>
      </w:r>
      <w:r>
        <w:rPr>
          <w:rFonts w:hint="default" w:ascii="Times New Roman" w:hAnsi="Times New Roman" w:eastAsia="仿宋_GB2312" w:cs="Times New Roman"/>
          <w:sz w:val="32"/>
          <w:szCs w:val="32"/>
          <w:highlight w:val="none"/>
          <w:lang w:val="en" w:eastAsia="zh-CN"/>
        </w:rPr>
        <w:t>重点</w:t>
      </w:r>
      <w:r>
        <w:rPr>
          <w:rFonts w:hint="eastAsia" w:ascii="Times New Roman" w:hAnsi="Times New Roman" w:cs="Times New Roman"/>
          <w:sz w:val="32"/>
          <w:szCs w:val="32"/>
          <w:highlight w:val="none"/>
          <w:lang w:val="en-US" w:eastAsia="zh-CN"/>
        </w:rPr>
        <w:t>监督</w:t>
      </w:r>
      <w:r>
        <w:rPr>
          <w:rFonts w:hint="default" w:ascii="Times New Roman" w:hAnsi="Times New Roman" w:eastAsia="仿宋_GB2312" w:cs="Times New Roman"/>
          <w:sz w:val="32"/>
          <w:szCs w:val="32"/>
          <w:highlight w:val="none"/>
          <w:lang w:val="en" w:eastAsia="zh-CN"/>
        </w:rPr>
        <w:t>项</w:t>
      </w:r>
      <w:r>
        <w:rPr>
          <w:rFonts w:hint="default" w:ascii="Times New Roman" w:hAnsi="Times New Roman" w:eastAsia="仿宋_GB2312" w:cs="Times New Roman"/>
          <w:color w:val="000000"/>
          <w:sz w:val="32"/>
          <w:szCs w:val="32"/>
          <w:highlight w:val="none"/>
          <w:lang w:val="en" w:eastAsia="zh-CN"/>
        </w:rPr>
        <w:t>目，获取数据</w:t>
      </w:r>
      <w:r>
        <w:rPr>
          <w:rFonts w:hint="eastAsia" w:ascii="Times New Roman" w:hAnsi="Times New Roman" w:eastAsia="仿宋_GB2312" w:cs="Times New Roman"/>
          <w:color w:val="000000"/>
          <w:sz w:val="32"/>
          <w:szCs w:val="32"/>
          <w:highlight w:val="none"/>
          <w:lang w:val="en-US" w:eastAsia="zh-CN"/>
        </w:rPr>
        <w:t>747</w:t>
      </w:r>
      <w:r>
        <w:rPr>
          <w:rFonts w:hint="default" w:ascii="Times New Roman" w:hAnsi="Times New Roman" w:eastAsia="仿宋_GB2312" w:cs="Times New Roman"/>
          <w:color w:val="000000"/>
          <w:sz w:val="32"/>
          <w:szCs w:val="32"/>
          <w:highlight w:val="none"/>
          <w:lang w:val="en-US" w:eastAsia="zh-CN"/>
        </w:rPr>
        <w:t>条，形成线索</w:t>
      </w:r>
      <w:r>
        <w:rPr>
          <w:rFonts w:hint="eastAsia" w:ascii="Times New Roman" w:hAnsi="Times New Roman" w:eastAsia="仿宋_GB2312" w:cs="Times New Roman"/>
          <w:color w:val="000000"/>
          <w:sz w:val="32"/>
          <w:szCs w:val="32"/>
          <w:highlight w:val="none"/>
          <w:lang w:val="en-US" w:eastAsia="zh-CN"/>
        </w:rPr>
        <w:t>28</w:t>
      </w:r>
      <w:r>
        <w:rPr>
          <w:rFonts w:hint="default" w:ascii="Times New Roman" w:hAnsi="Times New Roman" w:eastAsia="仿宋_GB2312" w:cs="Times New Roman"/>
          <w:color w:val="000000"/>
          <w:sz w:val="32"/>
          <w:szCs w:val="32"/>
          <w:highlight w:val="none"/>
          <w:lang w:val="en-US" w:eastAsia="zh-CN"/>
        </w:rPr>
        <w:t>条，成案</w:t>
      </w:r>
      <w:r>
        <w:rPr>
          <w:rFonts w:hint="eastAsia" w:ascii="Times New Roman" w:hAnsi="Times New Roman" w:eastAsia="仿宋_GB2312" w:cs="Times New Roman"/>
          <w:color w:val="000000"/>
          <w:sz w:val="32"/>
          <w:szCs w:val="32"/>
          <w:highlight w:val="none"/>
          <w:lang w:val="en-US" w:eastAsia="zh-CN"/>
        </w:rPr>
        <w:t>21</w:t>
      </w:r>
      <w:r>
        <w:rPr>
          <w:rFonts w:hint="default" w:ascii="Times New Roman" w:hAnsi="Times New Roman" w:eastAsia="仿宋_GB2312" w:cs="Times New Roman"/>
          <w:color w:val="000000"/>
          <w:sz w:val="32"/>
          <w:szCs w:val="32"/>
          <w:highlight w:val="none"/>
          <w:lang w:val="en-US" w:eastAsia="zh-CN"/>
        </w:rPr>
        <w:t>件，发出检察建议</w:t>
      </w:r>
      <w:r>
        <w:rPr>
          <w:rFonts w:hint="eastAsia" w:ascii="Times New Roman" w:hAnsi="Times New Roman" w:eastAsia="仿宋_GB2312" w:cs="Times New Roman"/>
          <w:color w:val="000000"/>
          <w:sz w:val="32"/>
          <w:szCs w:val="32"/>
          <w:highlight w:val="none"/>
          <w:lang w:val="en-US" w:eastAsia="zh-CN"/>
        </w:rPr>
        <w:t>14</w:t>
      </w:r>
      <w:r>
        <w:rPr>
          <w:rFonts w:hint="default" w:ascii="Times New Roman" w:hAnsi="Times New Roman" w:eastAsia="仿宋_GB2312" w:cs="Times New Roman"/>
          <w:color w:val="000000"/>
          <w:sz w:val="32"/>
          <w:szCs w:val="32"/>
          <w:highlight w:val="none"/>
          <w:lang w:val="en-US" w:eastAsia="zh-CN"/>
        </w:rPr>
        <w:t>件。在全省大数据法律监督模型业务竞赛场景应用中，获评全省第三。通过</w:t>
      </w:r>
      <w:r>
        <w:rPr>
          <w:rFonts w:hint="eastAsia" w:ascii="Times New Roman" w:hAnsi="Times New Roman"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数据搭台+云端普法</w:t>
      </w:r>
      <w:r>
        <w:rPr>
          <w:rFonts w:hint="eastAsia" w:ascii="Times New Roman" w:hAnsi="Times New Roman"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，有序推进未成年人检察线上小程序部署。</w:t>
      </w:r>
    </w:p>
    <w:p w14:paraId="075F5554">
      <w:pPr>
        <w:pStyle w:val="5"/>
        <w:keepNext w:val="0"/>
        <w:keepLines w:val="0"/>
        <w:pageBreakBefore w:val="0"/>
        <w:widowControl w:val="0"/>
        <w:kinsoku/>
        <w:wordWrap/>
        <w:overflowPunct/>
        <w:topLinePunct w:val="0"/>
        <w:autoSpaceDE/>
        <w:autoSpaceDN/>
        <w:bidi w:val="0"/>
        <w:adjustRightInd/>
        <w:snapToGrid/>
        <w:spacing w:after="0" w:afterLines="0" w:line="620" w:lineRule="exact"/>
        <w:ind w:firstLine="640" w:firstLineChars="200"/>
        <w:textAlignment w:val="auto"/>
        <w:rPr>
          <w:rFonts w:hint="default" w:ascii="Times New Roman" w:hAnsi="Times New Roman" w:cs="Times New Roman"/>
          <w:highlight w:val="none"/>
          <w:lang w:val="en-US" w:eastAsia="zh-CN"/>
        </w:rPr>
      </w:pPr>
      <w:r>
        <w:rPr>
          <w:rFonts w:hint="eastAsia" w:ascii="黑体" w:hAnsi="黑体" w:eastAsia="黑体" w:cs="黑体"/>
          <w:color w:val="auto"/>
          <w:sz w:val="32"/>
          <w:szCs w:val="32"/>
          <w:highlight w:val="none"/>
          <w:lang w:val="en-US" w:eastAsia="zh-CN"/>
        </w:rPr>
        <w:t>四、建设过硬检察队伍，全力夯实发展根基</w:t>
      </w:r>
    </w:p>
    <w:p w14:paraId="02AF8EF9">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620" w:lineRule="exact"/>
        <w:ind w:firstLine="643" w:firstLineChars="200"/>
        <w:jc w:val="both"/>
        <w:textAlignment w:val="auto"/>
        <w:rPr>
          <w:rFonts w:hint="default" w:ascii="Times New Roman" w:hAnsi="Times New Roman" w:eastAsia="仿宋_GB2312" w:cs="Times New Roman"/>
          <w:color w:val="0C0C0C"/>
          <w:kern w:val="2"/>
          <w:sz w:val="32"/>
          <w:szCs w:val="32"/>
          <w:highlight w:val="none"/>
          <w:lang w:val="en-US" w:eastAsia="zh-CN" w:bidi="ar-SA"/>
        </w:rPr>
      </w:pPr>
      <w:r>
        <w:rPr>
          <w:rFonts w:hint="default" w:ascii="楷体_GB2312" w:hAnsi="楷体_GB2312" w:eastAsia="楷体_GB2312" w:cs="楷体_GB2312"/>
          <w:b/>
          <w:bCs/>
          <w:color w:val="auto"/>
          <w:kern w:val="2"/>
          <w:sz w:val="32"/>
          <w:szCs w:val="32"/>
          <w:highlight w:val="none"/>
          <w:lang w:val="en-US" w:eastAsia="zh-CN" w:bidi="ar-SA"/>
        </w:rPr>
        <w:t>政治建检筑牢忠诚底色</w:t>
      </w:r>
      <w:r>
        <w:rPr>
          <w:rFonts w:hint="eastAsia" w:ascii="楷体_GB2312" w:hAnsi="楷体_GB2312" w:eastAsia="楷体_GB2312" w:cs="楷体_GB2312"/>
          <w:b/>
          <w:bCs/>
          <w:color w:val="auto"/>
          <w:kern w:val="2"/>
          <w:sz w:val="32"/>
          <w:szCs w:val="32"/>
          <w:highlight w:val="none"/>
          <w:lang w:val="en-US" w:eastAsia="zh-CN" w:bidi="ar-SA"/>
        </w:rPr>
        <w:t>。</w:t>
      </w:r>
      <w:r>
        <w:rPr>
          <w:rFonts w:hint="eastAsia" w:ascii="Times New Roman" w:hAnsi="Times New Roman" w:cs="Times New Roman"/>
          <w:color w:val="0C0C0C"/>
          <w:kern w:val="2"/>
          <w:sz w:val="32"/>
          <w:szCs w:val="32"/>
          <w:highlight w:val="none"/>
          <w:lang w:val="en-US" w:eastAsia="zh-CN" w:bidi="ar-SA"/>
        </w:rPr>
        <w:t>扎实开展深入贯彻中央八项规定精神</w:t>
      </w:r>
      <w:r>
        <w:rPr>
          <w:rFonts w:hint="default" w:ascii="Times New Roman" w:hAnsi="Times New Roman" w:eastAsia="仿宋_GB2312" w:cs="Times New Roman"/>
          <w:sz w:val="32"/>
          <w:szCs w:val="40"/>
          <w:highlight w:val="none"/>
          <w:lang w:val="en-US" w:eastAsia="zh-CN"/>
        </w:rPr>
        <w:t>学习教育</w:t>
      </w:r>
      <w:r>
        <w:rPr>
          <w:rFonts w:hint="default" w:ascii="Times New Roman" w:hAnsi="Times New Roman" w:cs="Times New Roman"/>
          <w:sz w:val="32"/>
          <w:szCs w:val="40"/>
          <w:highlight w:val="none"/>
          <w:lang w:val="en-US" w:eastAsia="zh-CN"/>
        </w:rPr>
        <w:t>，</w:t>
      </w:r>
      <w:r>
        <w:rPr>
          <w:rFonts w:hint="eastAsia" w:ascii="Times New Roman" w:hAnsi="Times New Roman" w:cs="Times New Roman"/>
          <w:sz w:val="32"/>
          <w:szCs w:val="40"/>
          <w:highlight w:val="none"/>
          <w:lang w:val="en-US" w:eastAsia="zh-CN"/>
        </w:rPr>
        <w:t>一体推进学查改，</w:t>
      </w:r>
      <w:r>
        <w:rPr>
          <w:rFonts w:hint="default" w:ascii="Times New Roman" w:hAnsi="Times New Roman" w:eastAsia="仿宋_GB2312" w:cs="Times New Roman"/>
          <w:sz w:val="32"/>
          <w:szCs w:val="40"/>
          <w:highlight w:val="none"/>
        </w:rPr>
        <w:t>领导班子</w:t>
      </w:r>
      <w:r>
        <w:rPr>
          <w:rFonts w:hint="default" w:ascii="Times New Roman" w:hAnsi="Times New Roman" w:eastAsia="仿宋_GB2312" w:cs="Times New Roman"/>
          <w:sz w:val="32"/>
          <w:szCs w:val="40"/>
          <w:highlight w:val="none"/>
          <w:lang w:val="en-US" w:eastAsia="zh-CN"/>
        </w:rPr>
        <w:t>查摆出</w:t>
      </w:r>
      <w:r>
        <w:rPr>
          <w:rFonts w:hint="default" w:ascii="Times New Roman" w:hAnsi="Times New Roman" w:eastAsia="仿宋_GB2312" w:cs="Times New Roman"/>
          <w:sz w:val="32"/>
          <w:szCs w:val="40"/>
          <w:highlight w:val="none"/>
        </w:rPr>
        <w:t>15个方面18</w:t>
      </w:r>
      <w:r>
        <w:rPr>
          <w:rFonts w:hint="eastAsia" w:ascii="Times New Roman" w:hAnsi="Times New Roman" w:cs="Times New Roman"/>
          <w:sz w:val="32"/>
          <w:szCs w:val="40"/>
          <w:highlight w:val="none"/>
          <w:lang w:val="en-US" w:eastAsia="zh-CN"/>
        </w:rPr>
        <w:t>个</w:t>
      </w:r>
      <w:r>
        <w:rPr>
          <w:rFonts w:hint="default" w:ascii="Times New Roman" w:hAnsi="Times New Roman" w:eastAsia="仿宋_GB2312" w:cs="Times New Roman"/>
          <w:sz w:val="32"/>
          <w:szCs w:val="40"/>
          <w:highlight w:val="none"/>
        </w:rPr>
        <w:t>问题，</w:t>
      </w:r>
      <w:r>
        <w:rPr>
          <w:rFonts w:hint="default" w:ascii="Times New Roman" w:hAnsi="Times New Roman" w:eastAsia="仿宋_GB2312" w:cs="Times New Roman"/>
          <w:sz w:val="32"/>
          <w:szCs w:val="40"/>
          <w:highlight w:val="none"/>
          <w:lang w:val="en-US" w:eastAsia="zh-CN"/>
        </w:rPr>
        <w:t>纳入集中整治台账17项，</w:t>
      </w:r>
      <w:r>
        <w:rPr>
          <w:rFonts w:hint="eastAsia" w:ascii="Times New Roman" w:hAnsi="Times New Roman" w:cs="Times New Roman"/>
          <w:sz w:val="32"/>
          <w:szCs w:val="40"/>
          <w:highlight w:val="none"/>
          <w:lang w:val="en-US" w:eastAsia="zh-CN"/>
        </w:rPr>
        <w:t>制定整改措施58条，</w:t>
      </w:r>
      <w:r>
        <w:rPr>
          <w:rFonts w:hint="default" w:ascii="Times New Roman" w:hAnsi="Times New Roman" w:eastAsia="仿宋_GB2312" w:cs="Times New Roman"/>
          <w:sz w:val="32"/>
          <w:szCs w:val="40"/>
          <w:highlight w:val="none"/>
        </w:rPr>
        <w:t>已完成整改</w:t>
      </w:r>
      <w:r>
        <w:rPr>
          <w:rFonts w:hint="default" w:ascii="Times New Roman" w:hAnsi="Times New Roman" w:eastAsia="仿宋_GB2312" w:cs="Times New Roman"/>
          <w:sz w:val="32"/>
          <w:szCs w:val="40"/>
          <w:highlight w:val="none"/>
          <w:lang w:val="en-US" w:eastAsia="zh-CN"/>
        </w:rPr>
        <w:t>15</w:t>
      </w:r>
      <w:r>
        <w:rPr>
          <w:rFonts w:hint="default" w:ascii="Times New Roman" w:hAnsi="Times New Roman" w:eastAsia="仿宋_GB2312" w:cs="Times New Roman"/>
          <w:sz w:val="32"/>
          <w:szCs w:val="40"/>
          <w:highlight w:val="none"/>
        </w:rPr>
        <w:t>项，</w:t>
      </w:r>
      <w:r>
        <w:rPr>
          <w:rFonts w:hint="default" w:ascii="Times New Roman" w:hAnsi="Times New Roman" w:eastAsia="仿宋_GB2312" w:cs="Times New Roman"/>
          <w:sz w:val="32"/>
          <w:szCs w:val="40"/>
          <w:highlight w:val="none"/>
          <w:lang w:val="en-US" w:eastAsia="zh-CN"/>
        </w:rPr>
        <w:t>9个问题纳入经常性整改整治台账</w:t>
      </w:r>
      <w:r>
        <w:rPr>
          <w:rFonts w:hint="default" w:ascii="Times New Roman" w:hAnsi="Times New Roman" w:eastAsia="仿宋_GB2312" w:cs="Times New Roman"/>
          <w:sz w:val="32"/>
          <w:szCs w:val="40"/>
          <w:highlight w:val="none"/>
        </w:rPr>
        <w:t>。自觉贯彻落实《中国共产党政法工作条例》，严格执行重大事项请示报告制度，就检察重大事项等向区委、区委政法委请示报告</w:t>
      </w:r>
      <w:r>
        <w:rPr>
          <w:rFonts w:hint="eastAsia" w:ascii="Times New Roman" w:hAnsi="Times New Roman" w:cs="Times New Roman"/>
          <w:sz w:val="32"/>
          <w:szCs w:val="40"/>
          <w:highlight w:val="none"/>
          <w:lang w:val="en-US" w:eastAsia="zh-CN"/>
        </w:rPr>
        <w:t>11</w:t>
      </w:r>
      <w:r>
        <w:rPr>
          <w:rFonts w:hint="default" w:ascii="Times New Roman" w:hAnsi="Times New Roman" w:eastAsia="仿宋_GB2312" w:cs="Times New Roman"/>
          <w:sz w:val="32"/>
          <w:szCs w:val="40"/>
          <w:highlight w:val="none"/>
        </w:rPr>
        <w:t>次，参与协调案件</w:t>
      </w:r>
      <w:r>
        <w:rPr>
          <w:rFonts w:hint="eastAsia" w:ascii="Times New Roman" w:hAnsi="Times New Roman" w:cs="Times New Roman"/>
          <w:sz w:val="32"/>
          <w:szCs w:val="40"/>
          <w:highlight w:val="none"/>
          <w:lang w:val="en-US" w:eastAsia="zh-CN"/>
        </w:rPr>
        <w:t>17</w:t>
      </w:r>
      <w:r>
        <w:rPr>
          <w:rFonts w:hint="default" w:ascii="Times New Roman" w:hAnsi="Times New Roman" w:eastAsia="仿宋_GB2312" w:cs="Times New Roman"/>
          <w:sz w:val="32"/>
          <w:szCs w:val="40"/>
          <w:highlight w:val="none"/>
        </w:rPr>
        <w:t>件次。</w:t>
      </w:r>
      <w:r>
        <w:rPr>
          <w:rFonts w:hint="default" w:ascii="Times New Roman" w:hAnsi="Times New Roman" w:cs="Times New Roman"/>
          <w:sz w:val="32"/>
          <w:szCs w:val="36"/>
          <w:highlight w:val="none"/>
        </w:rPr>
        <w:t>压紧压实党风廉政建设</w:t>
      </w:r>
      <w:r>
        <w:rPr>
          <w:rFonts w:hint="eastAsia" w:ascii="Times New Roman" w:hAnsi="Times New Roman" w:cs="Times New Roman"/>
          <w:sz w:val="32"/>
          <w:szCs w:val="36"/>
          <w:highlight w:val="none"/>
          <w:lang w:eastAsia="zh-CN"/>
        </w:rPr>
        <w:t>“</w:t>
      </w:r>
      <w:r>
        <w:rPr>
          <w:rFonts w:hint="default" w:ascii="Times New Roman" w:hAnsi="Times New Roman" w:cs="Times New Roman"/>
          <w:sz w:val="32"/>
          <w:szCs w:val="36"/>
          <w:highlight w:val="none"/>
        </w:rPr>
        <w:t>两个责任</w:t>
      </w:r>
      <w:r>
        <w:rPr>
          <w:rFonts w:hint="eastAsia" w:ascii="Times New Roman" w:hAnsi="Times New Roman" w:cs="Times New Roman"/>
          <w:sz w:val="32"/>
          <w:szCs w:val="36"/>
          <w:highlight w:val="none"/>
          <w:lang w:eastAsia="zh-CN"/>
        </w:rPr>
        <w:t>”</w:t>
      </w:r>
      <w:r>
        <w:rPr>
          <w:rFonts w:hint="default" w:ascii="Times New Roman" w:hAnsi="Times New Roman" w:cs="Times New Roman"/>
          <w:sz w:val="32"/>
          <w:szCs w:val="36"/>
          <w:highlight w:val="none"/>
        </w:rPr>
        <w:t>，</w:t>
      </w:r>
      <w:r>
        <w:rPr>
          <w:rFonts w:hint="default" w:ascii="Times New Roman" w:hAnsi="Times New Roman" w:eastAsia="仿宋_GB2312" w:cs="Times New Roman"/>
          <w:i w:val="0"/>
          <w:caps w:val="0"/>
          <w:color w:val="auto"/>
          <w:spacing w:val="0"/>
          <w:sz w:val="32"/>
          <w:szCs w:val="32"/>
          <w:highlight w:val="none"/>
          <w:u w:val="none"/>
          <w:lang w:val="en-US" w:eastAsia="zh-CN"/>
        </w:rPr>
        <w:t>开</w:t>
      </w:r>
      <w:r>
        <w:rPr>
          <w:rFonts w:hint="default" w:ascii="Times New Roman" w:hAnsi="Times New Roman" w:eastAsia="仿宋_GB2312" w:cs="Times New Roman"/>
          <w:color w:val="0C0C0C"/>
          <w:kern w:val="2"/>
          <w:sz w:val="32"/>
          <w:szCs w:val="32"/>
          <w:highlight w:val="none"/>
          <w:lang w:val="en-US" w:eastAsia="zh-CN" w:bidi="ar-SA"/>
        </w:rPr>
        <w:t>展</w:t>
      </w:r>
      <w:r>
        <w:rPr>
          <w:rFonts w:hint="eastAsia" w:ascii="Times New Roman" w:hAnsi="Times New Roman" w:cs="Times New Roman"/>
          <w:color w:val="0C0C0C"/>
          <w:kern w:val="2"/>
          <w:sz w:val="32"/>
          <w:szCs w:val="32"/>
          <w:highlight w:val="none"/>
          <w:lang w:val="en-US" w:eastAsia="zh-CN" w:bidi="ar-SA"/>
        </w:rPr>
        <w:t>“</w:t>
      </w:r>
      <w:r>
        <w:rPr>
          <w:rFonts w:hint="default" w:ascii="Times New Roman" w:hAnsi="Times New Roman" w:eastAsia="仿宋_GB2312" w:cs="Times New Roman"/>
          <w:color w:val="0C0C0C"/>
          <w:kern w:val="2"/>
          <w:sz w:val="32"/>
          <w:szCs w:val="32"/>
          <w:highlight w:val="none"/>
          <w:lang w:val="en-US" w:eastAsia="zh-CN" w:bidi="ar-SA"/>
        </w:rPr>
        <w:t>谈心谈话</w:t>
      </w:r>
      <w:r>
        <w:rPr>
          <w:rFonts w:hint="eastAsia" w:ascii="Times New Roman" w:hAnsi="Times New Roman" w:cs="Times New Roman"/>
          <w:color w:val="0C0C0C"/>
          <w:kern w:val="2"/>
          <w:sz w:val="32"/>
          <w:szCs w:val="32"/>
          <w:highlight w:val="none"/>
          <w:lang w:val="en-US" w:eastAsia="zh-CN" w:bidi="ar-SA"/>
        </w:rPr>
        <w:t>”308</w:t>
      </w:r>
      <w:r>
        <w:rPr>
          <w:rFonts w:hint="default" w:ascii="Times New Roman" w:hAnsi="Times New Roman" w:eastAsia="仿宋_GB2312" w:cs="Times New Roman"/>
          <w:color w:val="0C0C0C"/>
          <w:kern w:val="2"/>
          <w:sz w:val="32"/>
          <w:szCs w:val="32"/>
          <w:highlight w:val="none"/>
          <w:lang w:val="en-US" w:eastAsia="zh-CN" w:bidi="ar-SA"/>
        </w:rPr>
        <w:t>人次</w:t>
      </w:r>
      <w:r>
        <w:rPr>
          <w:rFonts w:hint="eastAsia" w:ascii="Times New Roman" w:hAnsi="Times New Roman" w:cs="Times New Roman"/>
          <w:color w:val="0C0C0C"/>
          <w:kern w:val="2"/>
          <w:sz w:val="32"/>
          <w:szCs w:val="32"/>
          <w:highlight w:val="none"/>
          <w:lang w:val="en-US" w:eastAsia="zh-CN" w:bidi="ar-SA"/>
        </w:rPr>
        <w:t>，</w:t>
      </w:r>
      <w:r>
        <w:rPr>
          <w:rFonts w:hint="default" w:ascii="Times New Roman" w:hAnsi="Times New Roman" w:eastAsia="仿宋_GB2312" w:cs="Times New Roman"/>
          <w:bCs/>
          <w:color w:val="auto"/>
          <w:sz w:val="32"/>
          <w:szCs w:val="32"/>
          <w:highlight w:val="none"/>
          <w:lang w:val="en-US" w:eastAsia="zh-CN"/>
        </w:rPr>
        <w:t>常态化开展日常监督检查</w:t>
      </w:r>
      <w:r>
        <w:rPr>
          <w:rFonts w:hint="default" w:ascii="Times New Roman" w:hAnsi="Times New Roman" w:eastAsia="仿宋_GB2312" w:cs="Times New Roman"/>
          <w:i w:val="0"/>
          <w:caps w:val="0"/>
          <w:color w:val="auto"/>
          <w:spacing w:val="0"/>
          <w:sz w:val="32"/>
          <w:szCs w:val="32"/>
          <w:highlight w:val="none"/>
          <w:u w:val="none"/>
          <w:lang w:val="en-US" w:eastAsia="zh-CN"/>
        </w:rPr>
        <w:t>2</w:t>
      </w:r>
      <w:r>
        <w:rPr>
          <w:rFonts w:hint="eastAsia" w:ascii="Times New Roman" w:hAnsi="Times New Roman" w:cs="Times New Roman"/>
          <w:i w:val="0"/>
          <w:caps w:val="0"/>
          <w:color w:val="auto"/>
          <w:spacing w:val="0"/>
          <w:sz w:val="32"/>
          <w:szCs w:val="32"/>
          <w:highlight w:val="none"/>
          <w:u w:val="none"/>
          <w:lang w:val="en-US" w:eastAsia="zh-CN"/>
        </w:rPr>
        <w:t>6</w:t>
      </w:r>
      <w:r>
        <w:rPr>
          <w:rFonts w:hint="default" w:ascii="Times New Roman" w:hAnsi="Times New Roman" w:eastAsia="仿宋_GB2312" w:cs="Times New Roman"/>
          <w:i w:val="0"/>
          <w:caps w:val="0"/>
          <w:color w:val="auto"/>
          <w:spacing w:val="0"/>
          <w:sz w:val="32"/>
          <w:szCs w:val="32"/>
          <w:highlight w:val="none"/>
          <w:u w:val="none"/>
          <w:lang w:val="en-US" w:eastAsia="zh-CN"/>
        </w:rPr>
        <w:t>次</w:t>
      </w:r>
      <w:r>
        <w:rPr>
          <w:rFonts w:hint="default" w:ascii="Times New Roman" w:hAnsi="Times New Roman" w:cs="Times New Roman"/>
          <w:i w:val="0"/>
          <w:caps w:val="0"/>
          <w:color w:val="auto"/>
          <w:spacing w:val="0"/>
          <w:sz w:val="32"/>
          <w:szCs w:val="32"/>
          <w:highlight w:val="none"/>
          <w:u w:val="none"/>
          <w:lang w:val="en-US" w:eastAsia="zh-CN"/>
        </w:rPr>
        <w:t>。</w:t>
      </w:r>
    </w:p>
    <w:p w14:paraId="2013F025">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620" w:lineRule="exact"/>
        <w:ind w:firstLine="643" w:firstLineChars="200"/>
        <w:jc w:val="both"/>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楷体_GB2312" w:hAnsi="楷体_GB2312" w:eastAsia="楷体_GB2312" w:cs="楷体_GB2312"/>
          <w:b/>
          <w:bCs/>
          <w:color w:val="auto"/>
          <w:kern w:val="2"/>
          <w:sz w:val="32"/>
          <w:szCs w:val="32"/>
          <w:highlight w:val="none"/>
          <w:lang w:val="en-US" w:eastAsia="zh-CN" w:bidi="ar-SA"/>
        </w:rPr>
        <w:t>阳光亮检彰显公正本色。</w:t>
      </w:r>
      <w:r>
        <w:rPr>
          <w:rFonts w:hint="eastAsia" w:ascii="Times New Roman" w:hAnsi="Times New Roman" w:eastAsia="仿宋_GB2312" w:cs="Times New Roman"/>
          <w:color w:val="auto"/>
          <w:kern w:val="2"/>
          <w:sz w:val="32"/>
          <w:szCs w:val="32"/>
          <w:highlight w:val="none"/>
          <w:lang w:val="en-US" w:eastAsia="zh-CN" w:bidi="ar-SA"/>
        </w:rPr>
        <w:t>邀请人大代表、政协委员参加视察调研、检察开放日等活动32人次。</w:t>
      </w:r>
      <w:r>
        <w:rPr>
          <w:rFonts w:hint="default" w:ascii="Times New Roman" w:hAnsi="Times New Roman" w:eastAsia="仿宋_GB2312" w:cs="Times New Roman"/>
          <w:color w:val="auto"/>
          <w:kern w:val="2"/>
          <w:sz w:val="32"/>
          <w:szCs w:val="32"/>
          <w:highlight w:val="none"/>
          <w:lang w:val="en-US" w:eastAsia="zh-CN" w:bidi="ar-SA"/>
        </w:rPr>
        <w:t>认真落实</w:t>
      </w:r>
      <w:r>
        <w:rPr>
          <w:rFonts w:hint="eastAsia" w:ascii="Times New Roman" w:hAnsi="Times New Roman" w:eastAsia="仿宋_GB2312" w:cs="Times New Roman"/>
          <w:color w:val="auto"/>
          <w:kern w:val="2"/>
          <w:sz w:val="32"/>
          <w:szCs w:val="32"/>
          <w:highlight w:val="none"/>
          <w:lang w:val="en-US" w:eastAsia="zh-CN" w:bidi="ar-SA"/>
        </w:rPr>
        <w:t>区</w:t>
      </w:r>
      <w:r>
        <w:rPr>
          <w:rFonts w:hint="default" w:ascii="Times New Roman" w:hAnsi="Times New Roman" w:eastAsia="仿宋_GB2312" w:cs="Times New Roman"/>
          <w:color w:val="auto"/>
          <w:kern w:val="2"/>
          <w:sz w:val="32"/>
          <w:szCs w:val="32"/>
          <w:highlight w:val="none"/>
          <w:lang w:val="en-US" w:eastAsia="zh-CN" w:bidi="ar-SA"/>
        </w:rPr>
        <w:t>人大及其常委会各项决议和决定，</w:t>
      </w:r>
      <w:r>
        <w:rPr>
          <w:rFonts w:hint="eastAsia" w:ascii="Times New Roman" w:hAnsi="Times New Roman" w:eastAsia="仿宋_GB2312" w:cs="Times New Roman"/>
          <w:color w:val="auto"/>
          <w:kern w:val="2"/>
          <w:sz w:val="32"/>
          <w:szCs w:val="32"/>
          <w:highlight w:val="none"/>
          <w:lang w:val="en-US" w:eastAsia="zh-CN" w:bidi="ar-SA"/>
        </w:rPr>
        <w:t>办理人大代表重点建议1件，获评满意等次。主动向</w:t>
      </w:r>
      <w:r>
        <w:rPr>
          <w:rFonts w:hint="default" w:ascii="Times New Roman" w:hAnsi="Times New Roman" w:eastAsia="仿宋_GB2312" w:cs="Times New Roman"/>
          <w:color w:val="auto"/>
          <w:kern w:val="2"/>
          <w:sz w:val="32"/>
          <w:szCs w:val="32"/>
          <w:highlight w:val="none"/>
          <w:lang w:val="en-US" w:eastAsia="zh-CN" w:bidi="ar-SA"/>
        </w:rPr>
        <w:t>各民主党派、工商联和无党派人士通报检察工作</w:t>
      </w:r>
      <w:r>
        <w:rPr>
          <w:rFonts w:hint="eastAsia" w:ascii="Times New Roman" w:hAnsi="Times New Roman" w:eastAsia="仿宋_GB2312" w:cs="Times New Roman"/>
          <w:color w:val="auto"/>
          <w:kern w:val="2"/>
          <w:sz w:val="32"/>
          <w:szCs w:val="32"/>
          <w:highlight w:val="none"/>
          <w:lang w:val="en-US" w:eastAsia="zh-CN" w:bidi="ar-SA"/>
        </w:rPr>
        <w:t>情况</w:t>
      </w:r>
      <w:r>
        <w:rPr>
          <w:rFonts w:hint="default" w:ascii="Times New Roman" w:hAnsi="Times New Roman" w:eastAsia="仿宋_GB2312" w:cs="Times New Roman"/>
          <w:color w:val="auto"/>
          <w:kern w:val="2"/>
          <w:sz w:val="32"/>
          <w:szCs w:val="32"/>
          <w:highlight w:val="none"/>
          <w:lang w:val="en-US" w:eastAsia="zh-CN" w:bidi="ar-SA"/>
        </w:rPr>
        <w:t>，听取意见并</w:t>
      </w:r>
      <w:r>
        <w:rPr>
          <w:rFonts w:hint="eastAsia" w:ascii="Times New Roman" w:hAnsi="Times New Roman" w:eastAsia="仿宋_GB2312" w:cs="Times New Roman"/>
          <w:color w:val="auto"/>
          <w:kern w:val="2"/>
          <w:sz w:val="32"/>
          <w:szCs w:val="32"/>
          <w:highlight w:val="none"/>
          <w:lang w:val="en-US" w:eastAsia="zh-CN" w:bidi="ar-SA"/>
        </w:rPr>
        <w:t>落实建议4件</w:t>
      </w:r>
      <w:r>
        <w:rPr>
          <w:rFonts w:hint="default" w:ascii="Times New Roman" w:hAnsi="Times New Roman" w:eastAsia="仿宋_GB2312" w:cs="Times New Roman"/>
          <w:color w:val="auto"/>
          <w:kern w:val="2"/>
          <w:sz w:val="32"/>
          <w:szCs w:val="32"/>
          <w:highlight w:val="none"/>
          <w:lang w:val="en-US" w:eastAsia="zh-CN" w:bidi="ar-SA"/>
        </w:rPr>
        <w:t>。进一步深化公开听证，召开案件听证</w:t>
      </w:r>
      <w:r>
        <w:rPr>
          <w:rFonts w:hint="default" w:ascii="Times New Roman" w:hAnsi="Times New Roman" w:cs="Times New Roman"/>
          <w:color w:val="auto"/>
          <w:kern w:val="2"/>
          <w:sz w:val="32"/>
          <w:szCs w:val="32"/>
          <w:highlight w:val="none"/>
          <w:lang w:val="en-US" w:eastAsia="zh-CN" w:bidi="ar-SA"/>
        </w:rPr>
        <w:t>会</w:t>
      </w:r>
      <w:r>
        <w:rPr>
          <w:rFonts w:hint="eastAsia" w:ascii="Times New Roman" w:hAnsi="Times New Roman" w:cs="Times New Roman"/>
          <w:color w:val="auto"/>
          <w:kern w:val="2"/>
          <w:sz w:val="32"/>
          <w:szCs w:val="32"/>
          <w:highlight w:val="none"/>
          <w:lang w:val="en-US" w:eastAsia="zh-CN" w:bidi="ar-SA"/>
        </w:rPr>
        <w:t>65件</w:t>
      </w:r>
      <w:r>
        <w:rPr>
          <w:rFonts w:hint="default" w:ascii="Times New Roman" w:hAnsi="Times New Roman" w:cs="Times New Roman"/>
          <w:color w:val="auto"/>
          <w:kern w:val="2"/>
          <w:sz w:val="32"/>
          <w:szCs w:val="32"/>
          <w:highlight w:val="none"/>
          <w:lang w:val="en-US" w:eastAsia="zh-CN" w:bidi="ar-SA"/>
        </w:rPr>
        <w:t>次</w:t>
      </w:r>
      <w:r>
        <w:rPr>
          <w:rFonts w:hint="default" w:ascii="Times New Roman" w:hAnsi="Times New Roman" w:eastAsia="仿宋_GB2312" w:cs="Times New Roman"/>
          <w:color w:val="auto"/>
          <w:kern w:val="2"/>
          <w:sz w:val="32"/>
          <w:szCs w:val="32"/>
          <w:highlight w:val="none"/>
          <w:lang w:val="en-US" w:eastAsia="zh-CN" w:bidi="ar-SA"/>
        </w:rPr>
        <w:t>，邀请听证员</w:t>
      </w:r>
      <w:r>
        <w:rPr>
          <w:rFonts w:hint="eastAsia" w:ascii="Times New Roman" w:hAnsi="Times New Roman" w:cs="Times New Roman"/>
          <w:color w:val="auto"/>
          <w:kern w:val="2"/>
          <w:sz w:val="32"/>
          <w:szCs w:val="32"/>
          <w:highlight w:val="none"/>
          <w:lang w:val="en-US" w:eastAsia="zh-CN" w:bidi="ar-SA"/>
        </w:rPr>
        <w:t>130</w:t>
      </w:r>
      <w:r>
        <w:rPr>
          <w:rFonts w:hint="default" w:ascii="Times New Roman" w:hAnsi="Times New Roman" w:eastAsia="仿宋_GB2312" w:cs="Times New Roman"/>
          <w:color w:val="auto"/>
          <w:kern w:val="2"/>
          <w:sz w:val="32"/>
          <w:szCs w:val="32"/>
          <w:highlight w:val="none"/>
          <w:lang w:val="en-US" w:eastAsia="zh-CN" w:bidi="ar-SA"/>
        </w:rPr>
        <w:t>人次</w:t>
      </w:r>
      <w:r>
        <w:rPr>
          <w:rFonts w:hint="default" w:ascii="Times New Roman" w:hAnsi="Times New Roman" w:cs="Times New Roman"/>
          <w:color w:val="auto"/>
          <w:kern w:val="2"/>
          <w:sz w:val="32"/>
          <w:szCs w:val="32"/>
          <w:highlight w:val="none"/>
          <w:lang w:val="en-US" w:eastAsia="zh-CN" w:bidi="ar-SA"/>
        </w:rPr>
        <w:t>，邀请人民监督员参与监督活动</w:t>
      </w:r>
      <w:r>
        <w:rPr>
          <w:rFonts w:hint="eastAsia" w:ascii="Times New Roman" w:hAnsi="Times New Roman" w:cs="Times New Roman"/>
          <w:color w:val="auto"/>
          <w:kern w:val="2"/>
          <w:sz w:val="32"/>
          <w:szCs w:val="32"/>
          <w:highlight w:val="none"/>
          <w:lang w:val="en-US" w:eastAsia="zh-CN" w:bidi="ar-SA"/>
        </w:rPr>
        <w:t>74</w:t>
      </w:r>
      <w:r>
        <w:rPr>
          <w:rFonts w:hint="default" w:ascii="Times New Roman" w:hAnsi="Times New Roman" w:cs="Times New Roman"/>
          <w:color w:val="auto"/>
          <w:kern w:val="2"/>
          <w:sz w:val="32"/>
          <w:szCs w:val="32"/>
          <w:highlight w:val="none"/>
          <w:lang w:val="en-US" w:eastAsia="zh-CN" w:bidi="ar-SA"/>
        </w:rPr>
        <w:t>件次。</w:t>
      </w:r>
      <w:r>
        <w:rPr>
          <w:rFonts w:hint="default" w:ascii="Times New Roman" w:hAnsi="Times New Roman" w:eastAsia="仿宋_GB2312" w:cs="Times New Roman"/>
          <w:i w:val="0"/>
          <w:caps w:val="0"/>
          <w:color w:val="auto"/>
          <w:spacing w:val="0"/>
          <w:sz w:val="32"/>
          <w:szCs w:val="32"/>
          <w:highlight w:val="none"/>
          <w:u w:val="none"/>
          <w:lang w:val="en-US" w:eastAsia="zh-CN"/>
        </w:rPr>
        <w:t>严格落实防止干预司法</w:t>
      </w:r>
      <w:r>
        <w:rPr>
          <w:rFonts w:hint="eastAsia" w:ascii="Times New Roman" w:hAnsi="Times New Roman" w:cs="Times New Roman"/>
          <w:i w:val="0"/>
          <w:caps w:val="0"/>
          <w:color w:val="auto"/>
          <w:spacing w:val="0"/>
          <w:sz w:val="32"/>
          <w:szCs w:val="32"/>
          <w:highlight w:val="none"/>
          <w:u w:val="none"/>
          <w:lang w:val="en-US" w:eastAsia="zh-CN"/>
        </w:rPr>
        <w:t>“</w:t>
      </w:r>
      <w:r>
        <w:rPr>
          <w:rFonts w:hint="default" w:ascii="Times New Roman" w:hAnsi="Times New Roman" w:eastAsia="仿宋_GB2312" w:cs="Times New Roman"/>
          <w:i w:val="0"/>
          <w:caps w:val="0"/>
          <w:color w:val="auto"/>
          <w:spacing w:val="0"/>
          <w:sz w:val="32"/>
          <w:szCs w:val="32"/>
          <w:highlight w:val="none"/>
          <w:u w:val="none"/>
          <w:lang w:val="en-US" w:eastAsia="zh-CN"/>
        </w:rPr>
        <w:t>三个规定</w:t>
      </w:r>
      <w:r>
        <w:rPr>
          <w:rFonts w:hint="eastAsia" w:ascii="Times New Roman" w:hAnsi="Times New Roman" w:cs="Times New Roman"/>
          <w:i w:val="0"/>
          <w:caps w:val="0"/>
          <w:color w:val="auto"/>
          <w:spacing w:val="0"/>
          <w:sz w:val="32"/>
          <w:szCs w:val="32"/>
          <w:highlight w:val="none"/>
          <w:u w:val="none"/>
          <w:lang w:val="en-US" w:eastAsia="zh-CN"/>
        </w:rPr>
        <w:t>”</w:t>
      </w:r>
      <w:r>
        <w:rPr>
          <w:rFonts w:hint="default" w:ascii="Times New Roman" w:hAnsi="Times New Roman" w:eastAsia="仿宋_GB2312" w:cs="Times New Roman"/>
          <w:i w:val="0"/>
          <w:caps w:val="0"/>
          <w:color w:val="auto"/>
          <w:spacing w:val="0"/>
          <w:sz w:val="32"/>
          <w:szCs w:val="32"/>
          <w:highlight w:val="none"/>
          <w:u w:val="none"/>
          <w:lang w:val="en-US" w:eastAsia="zh-CN"/>
        </w:rPr>
        <w:t>填报制度，记录报告过问或干预、插手检察办案等重大事项</w:t>
      </w:r>
      <w:r>
        <w:rPr>
          <w:rFonts w:hint="eastAsia" w:ascii="Times New Roman" w:hAnsi="Times New Roman" w:cs="Times New Roman"/>
          <w:i w:val="0"/>
          <w:caps w:val="0"/>
          <w:color w:val="auto"/>
          <w:spacing w:val="0"/>
          <w:sz w:val="32"/>
          <w:szCs w:val="32"/>
          <w:highlight w:val="none"/>
          <w:u w:val="none"/>
          <w:lang w:val="en-US" w:eastAsia="zh-CN"/>
        </w:rPr>
        <w:t>18</w:t>
      </w:r>
      <w:r>
        <w:rPr>
          <w:rFonts w:hint="default" w:ascii="Times New Roman" w:hAnsi="Times New Roman" w:eastAsia="仿宋_GB2312" w:cs="Times New Roman"/>
          <w:i w:val="0"/>
          <w:caps w:val="0"/>
          <w:color w:val="auto"/>
          <w:spacing w:val="0"/>
          <w:sz w:val="32"/>
          <w:szCs w:val="32"/>
          <w:highlight w:val="none"/>
          <w:u w:val="none"/>
          <w:lang w:val="en-US" w:eastAsia="zh-CN"/>
        </w:rPr>
        <w:t>件。</w:t>
      </w:r>
      <w:r>
        <w:rPr>
          <w:rFonts w:hint="default" w:ascii="Times New Roman" w:hAnsi="Times New Roman" w:eastAsia="仿宋_GB2312" w:cs="Times New Roman"/>
          <w:color w:val="auto"/>
          <w:kern w:val="2"/>
          <w:sz w:val="32"/>
          <w:szCs w:val="32"/>
          <w:highlight w:val="none"/>
          <w:lang w:val="en-US" w:eastAsia="zh-CN" w:bidi="ar-SA"/>
        </w:rPr>
        <w:t>公开程</w:t>
      </w:r>
      <w:r>
        <w:rPr>
          <w:rFonts w:hint="default" w:ascii="Times New Roman" w:hAnsi="Times New Roman" w:eastAsia="仿宋_GB2312" w:cs="Times New Roman"/>
          <w:color w:val="auto"/>
          <w:sz w:val="32"/>
          <w:szCs w:val="32"/>
          <w:highlight w:val="none"/>
        </w:rPr>
        <w:t>序性信息</w:t>
      </w:r>
      <w:r>
        <w:rPr>
          <w:rFonts w:hint="default" w:ascii="Times New Roman" w:hAnsi="Times New Roman" w:eastAsia="仿宋_GB2312" w:cs="Times New Roman"/>
          <w:color w:val="auto"/>
          <w:sz w:val="32"/>
          <w:szCs w:val="32"/>
          <w:highlight w:val="none"/>
          <w:lang w:val="en-US" w:eastAsia="zh-CN"/>
        </w:rPr>
        <w:t>15</w:t>
      </w:r>
      <w:r>
        <w:rPr>
          <w:rFonts w:hint="eastAsia" w:ascii="Times New Roman" w:hAnsi="Times New Roman" w:cs="Times New Roman"/>
          <w:color w:val="auto"/>
          <w:sz w:val="32"/>
          <w:szCs w:val="32"/>
          <w:highlight w:val="none"/>
          <w:lang w:val="en-US" w:eastAsia="zh-CN"/>
        </w:rPr>
        <w:t>46</w:t>
      </w:r>
      <w:r>
        <w:rPr>
          <w:rFonts w:hint="default" w:ascii="Times New Roman" w:hAnsi="Times New Roman" w:eastAsia="仿宋_GB2312" w:cs="Times New Roman"/>
          <w:color w:val="auto"/>
          <w:sz w:val="32"/>
          <w:szCs w:val="32"/>
          <w:highlight w:val="none"/>
        </w:rPr>
        <w:t>条，</w:t>
      </w:r>
      <w:r>
        <w:rPr>
          <w:rFonts w:hint="default" w:ascii="Times New Roman" w:hAnsi="Times New Roman" w:cs="Times New Roman"/>
          <w:sz w:val="32"/>
          <w:szCs w:val="36"/>
          <w:highlight w:val="none"/>
        </w:rPr>
        <w:t>推送</w:t>
      </w:r>
      <w:r>
        <w:rPr>
          <w:rFonts w:hint="eastAsia" w:ascii="Times New Roman" w:hAnsi="Times New Roman" w:cs="Times New Roman"/>
          <w:sz w:val="32"/>
          <w:szCs w:val="36"/>
          <w:highlight w:val="none"/>
          <w:lang w:eastAsia="zh-CN"/>
        </w:rPr>
        <w:t>“</w:t>
      </w:r>
      <w:r>
        <w:rPr>
          <w:rFonts w:hint="default" w:ascii="Times New Roman" w:hAnsi="Times New Roman" w:cs="Times New Roman"/>
          <w:sz w:val="32"/>
          <w:szCs w:val="36"/>
          <w:highlight w:val="none"/>
        </w:rPr>
        <w:t>鼎城检察</w:t>
      </w:r>
      <w:r>
        <w:rPr>
          <w:rFonts w:hint="eastAsia" w:ascii="Times New Roman" w:hAnsi="Times New Roman" w:cs="Times New Roman"/>
          <w:sz w:val="32"/>
          <w:szCs w:val="36"/>
          <w:highlight w:val="none"/>
          <w:lang w:eastAsia="zh-CN"/>
        </w:rPr>
        <w:t>”</w:t>
      </w:r>
      <w:r>
        <w:rPr>
          <w:rFonts w:hint="default" w:ascii="Times New Roman" w:hAnsi="Times New Roman" w:cs="Times New Roman"/>
          <w:sz w:val="32"/>
          <w:szCs w:val="36"/>
          <w:highlight w:val="none"/>
        </w:rPr>
        <w:t>微信公众号</w:t>
      </w:r>
      <w:r>
        <w:rPr>
          <w:rFonts w:hint="eastAsia" w:ascii="Times New Roman" w:hAnsi="Times New Roman" w:cs="Times New Roman"/>
          <w:sz w:val="32"/>
          <w:szCs w:val="36"/>
          <w:highlight w:val="none"/>
          <w:lang w:val="en-US" w:eastAsia="zh-CN"/>
        </w:rPr>
        <w:t>104</w:t>
      </w:r>
      <w:r>
        <w:rPr>
          <w:rFonts w:hint="default" w:ascii="Times New Roman" w:hAnsi="Times New Roman" w:cs="Times New Roman"/>
          <w:sz w:val="32"/>
          <w:szCs w:val="36"/>
          <w:highlight w:val="none"/>
        </w:rPr>
        <w:t>期，宣传报道被各类媒体采用</w:t>
      </w:r>
      <w:r>
        <w:rPr>
          <w:rFonts w:hint="eastAsia" w:ascii="Times New Roman" w:hAnsi="Times New Roman" w:cs="Times New Roman"/>
          <w:sz w:val="32"/>
          <w:szCs w:val="36"/>
          <w:highlight w:val="none"/>
          <w:lang w:val="en-US" w:eastAsia="zh-CN"/>
        </w:rPr>
        <w:t>132</w:t>
      </w:r>
      <w:r>
        <w:rPr>
          <w:rFonts w:hint="default" w:ascii="Times New Roman" w:hAnsi="Times New Roman" w:cs="Times New Roman"/>
          <w:sz w:val="32"/>
          <w:szCs w:val="36"/>
          <w:highlight w:val="none"/>
        </w:rPr>
        <w:t>篇次。</w:t>
      </w:r>
    </w:p>
    <w:p w14:paraId="7A8EB5A7">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620" w:lineRule="exact"/>
        <w:ind w:firstLine="643" w:firstLineChars="200"/>
        <w:jc w:val="both"/>
        <w:textAlignment w:val="auto"/>
        <w:rPr>
          <w:rFonts w:hint="default" w:ascii="Times New Roman" w:hAnsi="Times New Roman" w:eastAsia="仿宋_GB2312" w:cs="Times New Roman"/>
          <w:i w:val="0"/>
          <w:caps w:val="0"/>
          <w:color w:val="auto"/>
          <w:spacing w:val="0"/>
          <w:sz w:val="32"/>
          <w:szCs w:val="32"/>
          <w:highlight w:val="none"/>
          <w:u w:val="none"/>
          <w:lang w:val="en-US" w:eastAsia="zh-CN"/>
        </w:rPr>
      </w:pPr>
      <w:r>
        <w:rPr>
          <w:rFonts w:hint="eastAsia" w:ascii="楷体_GB2312" w:hAnsi="楷体_GB2312" w:eastAsia="楷体_GB2312" w:cs="楷体_GB2312"/>
          <w:b/>
          <w:bCs/>
          <w:color w:val="auto"/>
          <w:kern w:val="2"/>
          <w:sz w:val="32"/>
          <w:szCs w:val="32"/>
          <w:highlight w:val="none"/>
          <w:lang w:val="en-US" w:eastAsia="zh-CN" w:bidi="ar-SA"/>
        </w:rPr>
        <w:t>素能强检提升人才亮色。</w:t>
      </w:r>
      <w:r>
        <w:rPr>
          <w:rFonts w:hint="default" w:ascii="Times New Roman" w:hAnsi="Times New Roman" w:eastAsia="仿宋_GB2312" w:cs="Times New Roman"/>
          <w:i w:val="0"/>
          <w:caps w:val="0"/>
          <w:color w:val="auto"/>
          <w:spacing w:val="0"/>
          <w:sz w:val="32"/>
          <w:szCs w:val="32"/>
          <w:highlight w:val="none"/>
          <w:u w:val="none"/>
          <w:lang w:val="en-US" w:eastAsia="zh-CN"/>
        </w:rPr>
        <w:t>围绕建设学习型机关</w:t>
      </w:r>
      <w:r>
        <w:rPr>
          <w:rFonts w:hint="default" w:ascii="Times New Roman" w:hAnsi="Times New Roman" w:cs="Times New Roman"/>
          <w:i w:val="0"/>
          <w:caps w:val="0"/>
          <w:color w:val="auto"/>
          <w:spacing w:val="0"/>
          <w:sz w:val="32"/>
          <w:szCs w:val="32"/>
          <w:highlight w:val="none"/>
          <w:u w:val="none"/>
          <w:lang w:val="en-US" w:eastAsia="zh-CN"/>
        </w:rPr>
        <w:t>，大力营造</w:t>
      </w:r>
      <w:r>
        <w:rPr>
          <w:rFonts w:hint="eastAsia" w:ascii="Times New Roman" w:hAnsi="Times New Roman" w:cs="Times New Roman"/>
          <w:i w:val="0"/>
          <w:caps w:val="0"/>
          <w:color w:val="auto"/>
          <w:spacing w:val="0"/>
          <w:sz w:val="32"/>
          <w:szCs w:val="32"/>
          <w:highlight w:val="none"/>
          <w:u w:val="none"/>
          <w:lang w:val="en-US" w:eastAsia="zh-CN"/>
        </w:rPr>
        <w:t>崇学善学乐学</w:t>
      </w:r>
      <w:r>
        <w:rPr>
          <w:rFonts w:hint="default" w:ascii="Times New Roman" w:hAnsi="Times New Roman" w:cs="Times New Roman"/>
          <w:i w:val="0"/>
          <w:caps w:val="0"/>
          <w:color w:val="auto"/>
          <w:spacing w:val="0"/>
          <w:sz w:val="32"/>
          <w:szCs w:val="32"/>
          <w:highlight w:val="none"/>
          <w:u w:val="none"/>
          <w:lang w:val="en-US" w:eastAsia="zh-CN"/>
        </w:rPr>
        <w:t>氛围，</w:t>
      </w:r>
      <w:r>
        <w:rPr>
          <w:rFonts w:hint="default" w:ascii="Times New Roman" w:hAnsi="Times New Roman" w:cs="Times New Roman"/>
          <w:sz w:val="32"/>
          <w:szCs w:val="36"/>
          <w:highlight w:val="none"/>
        </w:rPr>
        <w:t>常态化开展鼎检大讲坛、鼎检青沙龙等活动，组织干警参加各类培训</w:t>
      </w:r>
      <w:r>
        <w:rPr>
          <w:rFonts w:hint="default" w:ascii="Times New Roman" w:hAnsi="Times New Roman" w:cs="Times New Roman"/>
          <w:sz w:val="32"/>
          <w:szCs w:val="36"/>
          <w:highlight w:val="none"/>
          <w:lang w:val="en-US" w:eastAsia="zh-CN"/>
        </w:rPr>
        <w:t>37</w:t>
      </w:r>
      <w:r>
        <w:rPr>
          <w:rFonts w:hint="default" w:ascii="Times New Roman" w:hAnsi="Times New Roman" w:cs="Times New Roman"/>
          <w:sz w:val="32"/>
          <w:szCs w:val="36"/>
          <w:highlight w:val="none"/>
        </w:rPr>
        <w:t>期</w:t>
      </w:r>
      <w:r>
        <w:rPr>
          <w:rFonts w:hint="default" w:ascii="Times New Roman" w:hAnsi="Times New Roman" w:cs="Times New Roman"/>
          <w:sz w:val="32"/>
          <w:szCs w:val="36"/>
          <w:highlight w:val="none"/>
          <w:lang w:val="en-US" w:eastAsia="zh-CN"/>
        </w:rPr>
        <w:t>463</w:t>
      </w:r>
      <w:r>
        <w:rPr>
          <w:rFonts w:hint="default" w:ascii="Times New Roman" w:hAnsi="Times New Roman" w:cs="Times New Roman"/>
          <w:sz w:val="32"/>
          <w:szCs w:val="36"/>
          <w:highlight w:val="none"/>
        </w:rPr>
        <w:t>人次，选派</w:t>
      </w:r>
      <w:r>
        <w:rPr>
          <w:rFonts w:hint="default" w:ascii="Times New Roman" w:hAnsi="Times New Roman" w:cs="Times New Roman"/>
          <w:sz w:val="32"/>
          <w:szCs w:val="36"/>
          <w:highlight w:val="none"/>
          <w:lang w:val="en-US" w:eastAsia="zh-CN"/>
        </w:rPr>
        <w:t>干警</w:t>
      </w:r>
      <w:r>
        <w:rPr>
          <w:rFonts w:hint="default" w:ascii="Times New Roman" w:hAnsi="Times New Roman" w:cs="Times New Roman"/>
          <w:sz w:val="32"/>
          <w:szCs w:val="36"/>
          <w:highlight w:val="none"/>
        </w:rPr>
        <w:t>参加上级脱产培训</w:t>
      </w:r>
      <w:r>
        <w:rPr>
          <w:rFonts w:hint="default" w:ascii="Times New Roman" w:hAnsi="Times New Roman" w:cs="Times New Roman"/>
          <w:sz w:val="32"/>
          <w:szCs w:val="36"/>
          <w:highlight w:val="none"/>
          <w:lang w:val="en-US" w:eastAsia="zh-CN"/>
        </w:rPr>
        <w:t>22期61人次</w:t>
      </w:r>
      <w:r>
        <w:rPr>
          <w:rFonts w:hint="default" w:ascii="Times New Roman" w:hAnsi="Times New Roman" w:cs="Times New Roman"/>
          <w:sz w:val="32"/>
          <w:szCs w:val="36"/>
          <w:highlight w:val="none"/>
        </w:rPr>
        <w:t>。</w:t>
      </w:r>
      <w:r>
        <w:rPr>
          <w:rFonts w:hint="default" w:ascii="Times New Roman" w:hAnsi="Times New Roman" w:eastAsia="仿宋_GB2312" w:cs="Times New Roman"/>
          <w:bCs/>
          <w:color w:val="auto"/>
          <w:sz w:val="32"/>
          <w:szCs w:val="32"/>
          <w:highlight w:val="none"/>
          <w:lang w:val="en-US" w:eastAsia="zh-CN"/>
        </w:rPr>
        <w:t>通过业务竞赛、岗位练兵等活动，提升干警实战能力</w:t>
      </w:r>
      <w:r>
        <w:rPr>
          <w:rFonts w:hint="default" w:ascii="Times New Roman" w:hAnsi="Times New Roman" w:cs="Times New Roman"/>
          <w:bCs/>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两人荣获全省</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十佳公诉人</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称号</w:t>
      </w:r>
      <w:r>
        <w:rPr>
          <w:rFonts w:hint="eastAsia" w:ascii="Times New Roman" w:hAnsi="Times New Roman" w:cs="Times New Roman"/>
          <w:color w:val="auto"/>
          <w:sz w:val="32"/>
          <w:szCs w:val="32"/>
          <w:highlight w:val="none"/>
          <w:lang w:val="en-US" w:eastAsia="zh-CN"/>
        </w:rPr>
        <w:t>，一人荣获全省“业务能手”称号，</w:t>
      </w:r>
      <w:r>
        <w:rPr>
          <w:rFonts w:hint="default" w:ascii="Times New Roman" w:hAnsi="Times New Roman" w:eastAsia="仿宋_GB2312" w:cs="Times New Roman"/>
          <w:color w:val="auto"/>
          <w:sz w:val="32"/>
          <w:szCs w:val="32"/>
          <w:highlight w:val="none"/>
          <w:lang w:val="en-US" w:eastAsia="zh-CN"/>
        </w:rPr>
        <w:t>四人荣获</w:t>
      </w:r>
      <w:r>
        <w:rPr>
          <w:rFonts w:hint="default" w:ascii="Times New Roman" w:hAnsi="Times New Roman" w:cs="Times New Roman"/>
          <w:color w:val="auto"/>
          <w:sz w:val="32"/>
          <w:szCs w:val="32"/>
          <w:highlight w:val="none"/>
          <w:lang w:val="en-US" w:eastAsia="zh-CN"/>
        </w:rPr>
        <w:t>全市</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十佳公诉人</w:t>
      </w:r>
      <w:r>
        <w:rPr>
          <w:rFonts w:hint="eastAsia" w:ascii="Times New Roman" w:hAnsi="Times New Roman"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称号</w:t>
      </w:r>
      <w:r>
        <w:rPr>
          <w:rFonts w:hint="default" w:ascii="Times New Roman" w:hAnsi="Times New Roman" w:cs="Times New Roman"/>
          <w:color w:val="auto"/>
          <w:sz w:val="32"/>
          <w:szCs w:val="32"/>
          <w:highlight w:val="none"/>
          <w:lang w:val="en-US" w:eastAsia="zh-CN"/>
        </w:rPr>
        <w:t>。</w:t>
      </w:r>
    </w:p>
    <w:p w14:paraId="063E6C49">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textAlignment w:val="auto"/>
        <w:rPr>
          <w:rFonts w:hint="eastAsia" w:ascii="Times New Roman" w:hAnsi="Times New Roman" w:eastAsia="仿宋_GB2312" w:cs="Times New Roman"/>
          <w:color w:val="auto"/>
          <w:kern w:val="2"/>
          <w:sz w:val="32"/>
          <w:szCs w:val="36"/>
          <w:highlight w:val="none"/>
          <w:lang w:val="en-US" w:eastAsia="zh-CN" w:bidi="ar-SA"/>
        </w:rPr>
      </w:pPr>
      <w:r>
        <w:rPr>
          <w:rFonts w:hint="eastAsia" w:ascii="Times New Roman" w:hAnsi="Times New Roman" w:eastAsia="仿宋_GB2312" w:cs="Times New Roman"/>
          <w:color w:val="auto"/>
          <w:kern w:val="2"/>
          <w:sz w:val="32"/>
          <w:szCs w:val="36"/>
          <w:highlight w:val="none"/>
          <w:lang w:val="en-US" w:eastAsia="zh-CN" w:bidi="ar-SA"/>
        </w:rPr>
        <w:t>各位代表，过去的一年，我们每一项成绩的取得，都凝聚着区委、区人大及其常委会、区政府、区政协和社会各界的重视、关心和支持。在此，我代表区人民检察院向各级领导、全体代表和社会各界表示崇高的敬意和衷心的感谢！</w:t>
      </w:r>
    </w:p>
    <w:p w14:paraId="4B3D2422">
      <w:pPr>
        <w:keepNext w:val="0"/>
        <w:keepLines w:val="0"/>
        <w:pageBreakBefore w:val="0"/>
        <w:widowControl w:val="0"/>
        <w:kinsoku/>
        <w:wordWrap/>
        <w:overflowPunct/>
        <w:topLinePunct w:val="0"/>
        <w:autoSpaceDE/>
        <w:autoSpaceDN/>
        <w:bidi w:val="0"/>
        <w:adjustRightInd/>
        <w:snapToGrid/>
        <w:spacing w:beforeAutospacing="0" w:afterAutospacing="0" w:line="620" w:lineRule="exact"/>
        <w:ind w:firstLine="640" w:firstLineChars="200"/>
        <w:textAlignment w:val="auto"/>
        <w:rPr>
          <w:rFonts w:hint="default" w:ascii="Times New Roman" w:hAnsi="Times New Roman" w:eastAsia="仿宋_GB2312" w:cs="Times New Roman"/>
          <w:i w:val="0"/>
          <w:caps w:val="0"/>
          <w:color w:val="auto"/>
          <w:spacing w:val="0"/>
          <w:kern w:val="2"/>
          <w:sz w:val="32"/>
          <w:szCs w:val="32"/>
          <w:highlight w:val="none"/>
          <w:u w:val="none"/>
          <w:lang w:val="en-US" w:eastAsia="zh-CN" w:bidi="ar-SA"/>
        </w:rPr>
      </w:pPr>
      <w:r>
        <w:rPr>
          <w:rFonts w:hint="eastAsia" w:ascii="Times New Roman" w:hAnsi="Times New Roman" w:eastAsia="仿宋_GB2312" w:cs="Times New Roman"/>
          <w:color w:val="auto"/>
          <w:kern w:val="2"/>
          <w:sz w:val="32"/>
          <w:szCs w:val="36"/>
          <w:highlight w:val="none"/>
          <w:lang w:val="en-US" w:eastAsia="zh-CN" w:bidi="ar-SA"/>
        </w:rPr>
        <w:t>这一年，我们深耕于实践，突破瓶颈，凝聚力量，</w:t>
      </w:r>
      <w:r>
        <w:rPr>
          <w:rFonts w:hint="eastAsia" w:ascii="Times New Roman" w:hAnsi="Times New Roman" w:cs="Times New Roman"/>
          <w:color w:val="auto"/>
          <w:kern w:val="2"/>
          <w:sz w:val="32"/>
          <w:szCs w:val="36"/>
          <w:highlight w:val="none"/>
          <w:lang w:val="en-US" w:eastAsia="zh-CN" w:bidi="ar-SA"/>
        </w:rPr>
        <w:t>更加深刻体会：</w:t>
      </w:r>
      <w:r>
        <w:rPr>
          <w:rFonts w:hint="eastAsia" w:ascii="Times New Roman" w:hAnsi="Times New Roman" w:eastAsia="仿宋_GB2312" w:cs="Times New Roman"/>
          <w:color w:val="auto"/>
          <w:kern w:val="2"/>
          <w:sz w:val="32"/>
          <w:szCs w:val="36"/>
          <w:highlight w:val="none"/>
          <w:lang w:val="en-US" w:eastAsia="zh-CN" w:bidi="ar-SA"/>
        </w:rPr>
        <w:t>必须始终坚持“思想铸魂”这个根本前提，把理论武装成果转化为推动工作的强大动力；必须始终坚持“服务大局”这个基本定位，自觉把“发展之所需，群众之所盼”与岗位履职深度融合；必须始终坚持“守正创新”这个核心动力，在实践探索中破解难题、提升工作质效；必须始终坚持“严管厚爱”这个重要支撑，一体推进作风建设、能力建设及制度建设。</w:t>
      </w:r>
    </w:p>
    <w:p w14:paraId="33AA9FCF">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620" w:lineRule="exact"/>
        <w:ind w:firstLine="640" w:firstLineChars="200"/>
        <w:jc w:val="both"/>
        <w:textAlignment w:val="auto"/>
        <w:rPr>
          <w:rFonts w:hint="default" w:ascii="Times New Roman" w:hAnsi="Times New Roman" w:cs="Times New Roman"/>
          <w:highlight w:val="none"/>
          <w:lang w:val="en-US" w:eastAsia="zh-CN"/>
        </w:rPr>
      </w:pPr>
      <w:r>
        <w:rPr>
          <w:rFonts w:hint="eastAsia" w:ascii="Times New Roman" w:hAnsi="Times New Roman" w:cs="Times New Roman"/>
          <w:i w:val="0"/>
          <w:caps w:val="0"/>
          <w:color w:val="auto"/>
          <w:spacing w:val="0"/>
          <w:sz w:val="32"/>
          <w:szCs w:val="32"/>
          <w:highlight w:val="none"/>
          <w:u w:val="none"/>
          <w:lang w:val="en-US" w:eastAsia="zh-CN"/>
        </w:rPr>
        <w:t>与此同时，</w:t>
      </w:r>
      <w:r>
        <w:rPr>
          <w:rFonts w:hint="default" w:ascii="Times New Roman" w:hAnsi="Times New Roman" w:cs="Times New Roman"/>
          <w:i w:val="0"/>
          <w:caps w:val="0"/>
          <w:color w:val="auto"/>
          <w:spacing w:val="0"/>
          <w:sz w:val="32"/>
          <w:szCs w:val="32"/>
          <w:highlight w:val="none"/>
          <w:u w:val="none"/>
          <w:lang w:val="en-US" w:eastAsia="zh-CN"/>
        </w:rPr>
        <w:t>我们也清醒认识到，工作中还存在一些问题和不足：</w:t>
      </w:r>
      <w:r>
        <w:rPr>
          <w:rFonts w:hint="default" w:ascii="Times New Roman" w:hAnsi="Times New Roman" w:cs="Times New Roman"/>
          <w:b/>
          <w:bCs/>
          <w:i w:val="0"/>
          <w:caps w:val="0"/>
          <w:color w:val="auto"/>
          <w:spacing w:val="0"/>
          <w:sz w:val="32"/>
          <w:szCs w:val="32"/>
          <w:highlight w:val="none"/>
          <w:u w:val="none"/>
          <w:lang w:val="en-US" w:eastAsia="zh-CN"/>
        </w:rPr>
        <w:t>一是</w:t>
      </w:r>
      <w:r>
        <w:rPr>
          <w:rFonts w:hint="default" w:ascii="Times New Roman" w:hAnsi="Times New Roman" w:cs="Times New Roman"/>
          <w:i w:val="0"/>
          <w:caps w:val="0"/>
          <w:color w:val="auto"/>
          <w:spacing w:val="0"/>
          <w:sz w:val="32"/>
          <w:szCs w:val="32"/>
          <w:highlight w:val="none"/>
          <w:u w:val="none"/>
          <w:lang w:val="en-US" w:eastAsia="zh-CN"/>
        </w:rPr>
        <w:t>在法治轨道上服务高质</w:t>
      </w:r>
      <w:r>
        <w:rPr>
          <w:rFonts w:hint="default"/>
          <w:highlight w:val="none"/>
          <w:lang w:val="en-US" w:eastAsia="zh-CN"/>
        </w:rPr>
        <w:t>量发展的针对</w:t>
      </w:r>
      <w:r>
        <w:rPr>
          <w:rFonts w:hint="eastAsia"/>
          <w:highlight w:val="none"/>
          <w:lang w:val="en-US" w:eastAsia="zh-CN"/>
        </w:rPr>
        <w:t>性和</w:t>
      </w:r>
      <w:r>
        <w:rPr>
          <w:rFonts w:hint="default"/>
          <w:highlight w:val="none"/>
          <w:lang w:val="en-US" w:eastAsia="zh-CN"/>
        </w:rPr>
        <w:t>实效性还不强，服务保障大局的效果需进一步彰显；</w:t>
      </w:r>
      <w:r>
        <w:rPr>
          <w:rFonts w:hint="default"/>
          <w:b/>
          <w:bCs/>
          <w:highlight w:val="none"/>
          <w:lang w:val="en-US" w:eastAsia="zh-CN"/>
        </w:rPr>
        <w:t>二是</w:t>
      </w:r>
      <w:r>
        <w:rPr>
          <w:rFonts w:hint="eastAsia"/>
          <w:highlight w:val="none"/>
          <w:lang w:val="en-US" w:eastAsia="zh-CN"/>
        </w:rPr>
        <w:t>“</w:t>
      </w:r>
      <w:r>
        <w:rPr>
          <w:rFonts w:hint="default"/>
          <w:highlight w:val="none"/>
          <w:lang w:val="en-US" w:eastAsia="zh-CN"/>
        </w:rPr>
        <w:t>四大检察</w:t>
      </w:r>
      <w:r>
        <w:rPr>
          <w:rFonts w:hint="eastAsia"/>
          <w:highlight w:val="none"/>
          <w:lang w:val="en-US" w:eastAsia="zh-CN"/>
        </w:rPr>
        <w:t>”</w:t>
      </w:r>
      <w:r>
        <w:rPr>
          <w:rFonts w:hint="default"/>
          <w:highlight w:val="none"/>
          <w:lang w:val="en-US" w:eastAsia="zh-CN"/>
        </w:rPr>
        <w:t>发展不够均衡，法律监督的刚性、韧劲、深度有待加强；</w:t>
      </w:r>
      <w:r>
        <w:rPr>
          <w:rFonts w:hint="default"/>
          <w:b/>
          <w:bCs/>
          <w:highlight w:val="none"/>
          <w:lang w:val="en-US" w:eastAsia="zh-CN"/>
        </w:rPr>
        <w:t>三是</w:t>
      </w:r>
      <w:r>
        <w:rPr>
          <w:rFonts w:hint="default"/>
          <w:highlight w:val="none"/>
          <w:lang w:val="en-US" w:eastAsia="zh-CN"/>
        </w:rPr>
        <w:t>检察业务管理的机制还不够完善，以高水平管理促进高质效办案的基础不够牢固；</w:t>
      </w:r>
      <w:r>
        <w:rPr>
          <w:rFonts w:hint="default"/>
          <w:b/>
          <w:bCs/>
          <w:highlight w:val="none"/>
          <w:lang w:val="en-US" w:eastAsia="zh-CN"/>
        </w:rPr>
        <w:t>四是</w:t>
      </w:r>
      <w:r>
        <w:rPr>
          <w:rFonts w:hint="default"/>
          <w:highlight w:val="none"/>
          <w:lang w:val="en-US" w:eastAsia="zh-CN"/>
        </w:rPr>
        <w:t>检察队伍的理念更新、业务素能有待进一步提升，履职本领与新时代检察工作的使命任务要求还有差距。对于这些问题，我们将紧盯不放，着力予以解决。</w:t>
      </w:r>
    </w:p>
    <w:p w14:paraId="1AB13776">
      <w:pPr>
        <w:pStyle w:val="5"/>
        <w:keepNext w:val="0"/>
        <w:keepLines w:val="0"/>
        <w:pageBreakBefore w:val="0"/>
        <w:widowControl w:val="0"/>
        <w:kinsoku/>
        <w:wordWrap/>
        <w:overflowPunct/>
        <w:topLinePunct w:val="0"/>
        <w:autoSpaceDE/>
        <w:autoSpaceDN/>
        <w:bidi w:val="0"/>
        <w:adjustRightInd/>
        <w:snapToGrid/>
        <w:spacing w:before="469" w:beforeLines="150" w:after="469" w:afterLines="150" w:line="620" w:lineRule="exact"/>
        <w:ind w:firstLine="0" w:firstLineChars="0"/>
        <w:jc w:val="center"/>
        <w:textAlignment w:val="auto"/>
        <w:rPr>
          <w:rFonts w:hint="default" w:ascii="Times New Roman" w:hAnsi="Times New Roman" w:cs="Times New Roman"/>
          <w:highlight w:val="none"/>
          <w:lang w:val="en-US" w:eastAsia="zh-CN"/>
        </w:rPr>
      </w:pPr>
      <w:r>
        <w:rPr>
          <w:rFonts w:hint="eastAsia" w:ascii="Times New Roman" w:hAnsi="Times New Roman" w:eastAsia="华文中宋" w:cs="华文中宋"/>
          <w:b/>
          <w:bCs/>
          <w:highlight w:val="none"/>
          <w:lang w:val="en-US" w:eastAsia="zh-CN"/>
        </w:rPr>
        <w:t>2026</w:t>
      </w:r>
      <w:r>
        <w:rPr>
          <w:rFonts w:hint="eastAsia" w:ascii="华文中宋" w:hAnsi="华文中宋" w:eastAsia="华文中宋" w:cs="华文中宋"/>
          <w:b/>
          <w:bCs/>
          <w:highlight w:val="none"/>
          <w:lang w:val="en-US" w:eastAsia="zh-CN"/>
        </w:rPr>
        <w:t>年工作安排</w:t>
      </w:r>
    </w:p>
    <w:p w14:paraId="77D4BC1C">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620" w:lineRule="exact"/>
        <w:ind w:firstLine="640" w:firstLineChars="200"/>
        <w:jc w:val="both"/>
        <w:textAlignment w:val="auto"/>
        <w:rPr>
          <w:rFonts w:hint="default" w:ascii="Times New Roman" w:hAnsi="Times New Roman" w:eastAsia="楷体_GB2312" w:cs="Times New Roman"/>
          <w:highlight w:val="none"/>
          <w:lang w:val="en-US" w:eastAsia="zh-CN"/>
        </w:rPr>
      </w:pPr>
      <w:r>
        <w:rPr>
          <w:rFonts w:hint="default" w:ascii="Times New Roman" w:hAnsi="Times New Roman" w:cs="Times New Roman"/>
        </w:rPr>
        <w:t>202</w:t>
      </w:r>
      <w:r>
        <w:rPr>
          <w:rFonts w:hint="default" w:ascii="Times New Roman" w:hAnsi="Times New Roman" w:cs="Times New Roman"/>
          <w:lang w:val="en-US" w:eastAsia="zh-CN"/>
        </w:rPr>
        <w:t>6</w:t>
      </w:r>
      <w:r>
        <w:rPr>
          <w:rFonts w:hint="default" w:ascii="Times New Roman" w:hAnsi="Times New Roman" w:cs="Times New Roman"/>
        </w:rPr>
        <w:t>年，</w:t>
      </w:r>
      <w:r>
        <w:rPr>
          <w:color w:val="auto"/>
          <w:spacing w:val="-2"/>
        </w:rPr>
        <w:t>是</w:t>
      </w:r>
      <w:r>
        <w:rPr>
          <w:rFonts w:hint="eastAsia" w:ascii="方正仿宋_GBK"/>
          <w:color w:val="auto"/>
          <w:spacing w:val="-2"/>
        </w:rPr>
        <w:t>“</w:t>
      </w:r>
      <w:r>
        <w:rPr>
          <w:color w:val="auto"/>
          <w:spacing w:val="-2"/>
        </w:rPr>
        <w:t>十五五</w:t>
      </w:r>
      <w:r>
        <w:rPr>
          <w:rFonts w:hint="eastAsia" w:ascii="方正仿宋_GBK"/>
          <w:color w:val="auto"/>
          <w:spacing w:val="-2"/>
        </w:rPr>
        <w:t>”</w:t>
      </w:r>
      <w:r>
        <w:rPr>
          <w:color w:val="auto"/>
          <w:spacing w:val="-2"/>
        </w:rPr>
        <w:t>规划的开局之年。</w:t>
      </w:r>
      <w:r>
        <w:rPr>
          <w:rFonts w:hint="default" w:ascii="Times New Roman" w:hAnsi="Times New Roman" w:cs="Times New Roman"/>
        </w:rPr>
        <w:t>区人民检察院工作的总体思路是：</w:t>
      </w:r>
      <w:r>
        <w:rPr>
          <w:rFonts w:hint="eastAsia" w:ascii="黑体" w:hAnsi="黑体" w:eastAsia="黑体" w:cs="黑体"/>
          <w:b w:val="0"/>
          <w:bCs w:val="0"/>
        </w:rPr>
        <w:t>坚持以习近平新时代中国特色社会主义思想为指导，认真落实党的二十大及历次全会精神，深学笃信践行习近平法治思想，以更强担当、更优履职、更严作风全面融入全区中心</w:t>
      </w:r>
      <w:r>
        <w:rPr>
          <w:rFonts w:hint="eastAsia" w:ascii="黑体" w:hAnsi="黑体" w:eastAsia="黑体" w:cs="黑体"/>
          <w:b w:val="0"/>
          <w:bCs w:val="0"/>
          <w:lang w:val="en-US" w:eastAsia="zh-CN"/>
        </w:rPr>
        <w:t>工作，努力打造基层检察工作现代化“样板院”，为奋力开创中国式现代化鼎城实践新局面提供更加有力的检察保障</w:t>
      </w:r>
      <w:r>
        <w:rPr>
          <w:rFonts w:hint="eastAsia" w:ascii="黑体" w:hAnsi="黑体" w:eastAsia="黑体" w:cs="黑体"/>
          <w:b w:val="0"/>
          <w:bCs w:val="0"/>
        </w:rPr>
        <w:t>。</w:t>
      </w:r>
      <w:r>
        <w:rPr>
          <w:rFonts w:hint="default" w:ascii="Times New Roman" w:hAnsi="Times New Roman" w:cs="Times New Roman"/>
        </w:rPr>
        <w:t>围绕这一总体思路，今后将重点做好以下工作：</w:t>
      </w:r>
    </w:p>
    <w:p w14:paraId="23698C3E">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color w:val="auto"/>
        </w:rPr>
      </w:pPr>
      <w:r>
        <w:rPr>
          <w:rFonts w:hint="eastAsia" w:ascii="黑体" w:hAnsi="黑体" w:eastAsia="黑体" w:cs="黑体"/>
          <w:b w:val="0"/>
          <w:bCs w:val="0"/>
          <w:color w:val="auto"/>
          <w:kern w:val="2"/>
          <w:sz w:val="32"/>
          <w:szCs w:val="32"/>
          <w:highlight w:val="none"/>
          <w:lang w:val="en-US" w:eastAsia="zh-CN" w:bidi="ar-SA"/>
        </w:rPr>
        <w:t>一是聚力凝心铸魂，以更高站位筑牢政治忠诚。</w:t>
      </w:r>
      <w:r>
        <w:rPr>
          <w:rFonts w:hint="eastAsia" w:ascii="Times New Roman" w:hAnsi="Times New Roman" w:eastAsia="仿宋_GB2312" w:cs="Times New Roman"/>
          <w:color w:val="auto"/>
          <w:kern w:val="2"/>
          <w:sz w:val="32"/>
          <w:szCs w:val="32"/>
          <w:highlight w:val="none"/>
          <w:lang w:val="en-US" w:eastAsia="zh-CN" w:bidi="ar-SA"/>
        </w:rPr>
        <w:t>坚持以</w:t>
      </w:r>
      <w:r>
        <w:rPr>
          <w:rFonts w:hint="eastAsia" w:ascii="Times New Roman" w:hAnsi="Times New Roman" w:cs="Times New Roman"/>
          <w:color w:val="auto"/>
          <w:kern w:val="2"/>
          <w:sz w:val="32"/>
          <w:szCs w:val="32"/>
          <w:highlight w:val="none"/>
          <w:lang w:val="en-US" w:eastAsia="zh-CN" w:bidi="ar-SA"/>
        </w:rPr>
        <w:t>习近平新时代中国特色社会主义思想</w:t>
      </w:r>
      <w:r>
        <w:rPr>
          <w:rFonts w:hint="eastAsia" w:ascii="Times New Roman" w:hAnsi="Times New Roman" w:eastAsia="仿宋_GB2312" w:cs="Times New Roman"/>
          <w:color w:val="auto"/>
          <w:kern w:val="2"/>
          <w:sz w:val="32"/>
          <w:szCs w:val="32"/>
          <w:highlight w:val="none"/>
          <w:lang w:val="en-US" w:eastAsia="zh-CN" w:bidi="ar-SA"/>
        </w:rPr>
        <w:t>为指导，切实把思想和行动统一到党中央决策部署上来</w:t>
      </w:r>
      <w:r>
        <w:rPr>
          <w:rFonts w:hint="default" w:ascii="Times New Roman" w:hAnsi="Times New Roman" w:eastAsia="仿宋_GB2312" w:cs="Times New Roman"/>
          <w:color w:val="auto"/>
          <w:kern w:val="2"/>
          <w:sz w:val="32"/>
          <w:szCs w:val="32"/>
          <w:highlight w:val="none"/>
          <w:lang w:val="en-US" w:eastAsia="zh-CN" w:bidi="ar-SA"/>
        </w:rPr>
        <w:t>，自觉在党和国家工作大局中谋划和推动检察工作。严格落实</w:t>
      </w:r>
      <w:r>
        <w:rPr>
          <w:rFonts w:hint="eastAsia"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第一议题</w:t>
      </w:r>
      <w:r>
        <w:rPr>
          <w:rFonts w:hint="eastAsia" w:ascii="Times New Roman" w:hAnsi="Times New Roman"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制度，认真贯彻新时代党的建设总要求和新时代党的组织路线，</w:t>
      </w:r>
      <w:r>
        <w:rPr>
          <w:color w:val="auto"/>
        </w:rPr>
        <w:t>深入学习宣传贯彻党的二十届四中全会精神</w:t>
      </w:r>
      <w:r>
        <w:rPr>
          <w:rFonts w:hint="eastAsia" w:ascii="Times New Roman" w:hAnsi="Times New Roman" w:cs="Times New Roman"/>
          <w:color w:val="auto"/>
          <w:kern w:val="2"/>
          <w:sz w:val="32"/>
          <w:szCs w:val="32"/>
          <w:highlight w:val="none"/>
          <w:lang w:val="en-US" w:eastAsia="zh-CN" w:bidi="ar-SA"/>
        </w:rPr>
        <w:t>。</w:t>
      </w:r>
      <w:r>
        <w:rPr>
          <w:color w:val="auto"/>
        </w:rPr>
        <w:t>严格执行重大事项请示报告制度，确保上级决策部署和工作安排落地落实。全面落实意识形态工作责任制，持续推进党建与业务深度融合。</w:t>
      </w:r>
    </w:p>
    <w:p w14:paraId="2A4B3D7B">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620" w:lineRule="exact"/>
        <w:ind w:firstLine="640" w:firstLineChars="200"/>
        <w:jc w:val="both"/>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default" w:ascii="黑体" w:hAnsi="黑体" w:eastAsia="黑体" w:cs="黑体"/>
          <w:b w:val="0"/>
          <w:bCs w:val="0"/>
          <w:color w:val="auto"/>
          <w:kern w:val="2"/>
          <w:sz w:val="32"/>
          <w:szCs w:val="32"/>
          <w:highlight w:val="none"/>
          <w:lang w:val="en-US" w:eastAsia="zh-CN" w:bidi="ar-SA"/>
        </w:rPr>
        <w:t>二是聚力担当作为，以更实举措服务发展大局</w:t>
      </w:r>
      <w:r>
        <w:rPr>
          <w:rFonts w:hint="eastAsia" w:ascii="黑体" w:hAnsi="黑体" w:eastAsia="黑体" w:cs="黑体"/>
          <w:b w:val="0"/>
          <w:bCs w:val="0"/>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牢固树立总体国家安全观，</w:t>
      </w:r>
      <w:r>
        <w:rPr>
          <w:color w:val="auto"/>
        </w:rPr>
        <w:t>从重从严从快惩治重大恶性犯罪，常态化开展扫黑除恶斗争，从严打击金融犯罪，协同推进反腐败斗争</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000000"/>
          <w:sz w:val="32"/>
          <w:szCs w:val="32"/>
          <w:highlight w:val="none"/>
        </w:rPr>
        <w:t>依法惩治网络犯罪</w:t>
      </w:r>
      <w:r>
        <w:rPr>
          <w:rFonts w:hint="eastAsia" w:ascii="Times New Roman" w:hAnsi="Times New Roman"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协同加强网络空间法治建设。</w:t>
      </w:r>
      <w:r>
        <w:rPr>
          <w:rFonts w:hint="eastAsia" w:ascii="Times New Roman" w:hAnsi="Times New Roman" w:cs="Times New Roman"/>
          <w:color w:val="auto"/>
          <w:kern w:val="2"/>
          <w:sz w:val="32"/>
          <w:szCs w:val="32"/>
          <w:highlight w:val="none"/>
          <w:lang w:val="en-US" w:eastAsia="zh-CN" w:bidi="ar-SA"/>
        </w:rPr>
        <w:t>坚持和践行新时代“枫桥经验”，</w:t>
      </w:r>
      <w:r>
        <w:rPr>
          <w:rFonts w:hint="eastAsia" w:ascii="Times New Roman" w:hAnsi="Times New Roman" w:eastAsia="仿宋_GB2312" w:cs="Times New Roman"/>
          <w:color w:val="auto"/>
          <w:kern w:val="2"/>
          <w:sz w:val="32"/>
          <w:szCs w:val="32"/>
          <w:highlight w:val="none"/>
          <w:lang w:val="en-US" w:eastAsia="zh-CN" w:bidi="ar-SA"/>
        </w:rPr>
        <w:t>深入开展“化解矛盾风险、维护社会稳定”专项行动，以“如我在诉”的理念，在检察办案各环节，推动矛盾纠纷实质性化解。协同推进和落实“府检联动”工作机制，进一步完善行政执法与刑事司法衔接等工作制度。聚焦法治化营商环境建设，深入推进“检察护企”专项行动，协同防范化解金融风险，以法治力量维护经济秩序、稳定社会预期、提振发展信心。</w:t>
      </w:r>
    </w:p>
    <w:p w14:paraId="48E63B53">
      <w:pPr>
        <w:pStyle w:val="5"/>
        <w:keepNext w:val="0"/>
        <w:keepLines w:val="0"/>
        <w:pageBreakBefore w:val="0"/>
        <w:widowControl w:val="0"/>
        <w:kinsoku/>
        <w:wordWrap/>
        <w:overflowPunct/>
        <w:topLinePunct w:val="0"/>
        <w:autoSpaceDE/>
        <w:autoSpaceDN/>
        <w:bidi w:val="0"/>
        <w:adjustRightInd/>
        <w:snapToGrid/>
        <w:spacing w:after="0" w:afterLines="0" w:line="620" w:lineRule="exact"/>
        <w:ind w:firstLine="640" w:firstLineChars="200"/>
        <w:textAlignment w:val="auto"/>
        <w:rPr>
          <w:rFonts w:hint="default" w:ascii="楷体_GB2312" w:hAnsi="楷体_GB2312" w:eastAsia="楷体_GB2312" w:cs="楷体_GB2312"/>
          <w:highlight w:val="none"/>
          <w:lang w:val="en-US" w:eastAsia="zh-CN"/>
        </w:rPr>
      </w:pPr>
      <w:r>
        <w:rPr>
          <w:rFonts w:hint="default" w:ascii="黑体" w:hAnsi="黑体" w:eastAsia="黑体" w:cs="黑体"/>
          <w:b w:val="0"/>
          <w:bCs w:val="0"/>
          <w:color w:val="auto"/>
          <w:kern w:val="2"/>
          <w:sz w:val="32"/>
          <w:szCs w:val="32"/>
          <w:highlight w:val="none"/>
          <w:lang w:val="en-US" w:eastAsia="zh-CN" w:bidi="ar-SA"/>
        </w:rPr>
        <w:t>三是</w:t>
      </w:r>
      <w:r>
        <w:rPr>
          <w:rFonts w:hint="eastAsia" w:ascii="黑体" w:hAnsi="黑体" w:eastAsia="黑体" w:cs="黑体"/>
          <w:b w:val="0"/>
          <w:bCs w:val="0"/>
          <w:color w:val="auto"/>
          <w:kern w:val="2"/>
          <w:sz w:val="32"/>
          <w:szCs w:val="32"/>
          <w:highlight w:val="none"/>
          <w:lang w:val="en-US" w:eastAsia="zh-CN" w:bidi="ar-SA"/>
        </w:rPr>
        <w:t>聚力高</w:t>
      </w:r>
      <w:r>
        <w:rPr>
          <w:rFonts w:hint="default" w:ascii="黑体" w:hAnsi="黑体" w:eastAsia="黑体" w:cs="黑体"/>
          <w:b w:val="0"/>
          <w:bCs w:val="0"/>
          <w:color w:val="auto"/>
          <w:kern w:val="2"/>
          <w:sz w:val="32"/>
          <w:szCs w:val="32"/>
          <w:highlight w:val="none"/>
          <w:lang w:val="en-US" w:eastAsia="zh-CN" w:bidi="ar-SA"/>
        </w:rPr>
        <w:t>质</w:t>
      </w:r>
      <w:r>
        <w:rPr>
          <w:rFonts w:hint="eastAsia" w:ascii="黑体" w:hAnsi="黑体" w:eastAsia="黑体" w:cs="黑体"/>
          <w:b w:val="0"/>
          <w:bCs w:val="0"/>
          <w:color w:val="auto"/>
          <w:kern w:val="2"/>
          <w:sz w:val="32"/>
          <w:szCs w:val="32"/>
          <w:highlight w:val="none"/>
          <w:lang w:val="en-US" w:eastAsia="zh-CN" w:bidi="ar-SA"/>
        </w:rPr>
        <w:t>高</w:t>
      </w:r>
      <w:r>
        <w:rPr>
          <w:rFonts w:hint="default" w:ascii="黑体" w:hAnsi="黑体" w:eastAsia="黑体" w:cs="黑体"/>
          <w:b w:val="0"/>
          <w:bCs w:val="0"/>
          <w:color w:val="auto"/>
          <w:kern w:val="2"/>
          <w:sz w:val="32"/>
          <w:szCs w:val="32"/>
          <w:highlight w:val="none"/>
          <w:lang w:val="en-US" w:eastAsia="zh-CN" w:bidi="ar-SA"/>
        </w:rPr>
        <w:t>效，以</w:t>
      </w:r>
      <w:r>
        <w:rPr>
          <w:rFonts w:hint="eastAsia" w:ascii="黑体" w:hAnsi="黑体" w:eastAsia="黑体" w:cs="黑体"/>
          <w:b w:val="0"/>
          <w:bCs w:val="0"/>
          <w:color w:val="auto"/>
          <w:kern w:val="2"/>
          <w:sz w:val="32"/>
          <w:szCs w:val="32"/>
          <w:highlight w:val="none"/>
          <w:lang w:val="en-US" w:eastAsia="zh-CN" w:bidi="ar-SA"/>
        </w:rPr>
        <w:t>更强力度抓实法律监督</w:t>
      </w:r>
      <w:r>
        <w:rPr>
          <w:rFonts w:hint="default" w:ascii="黑体" w:hAnsi="黑体" w:eastAsia="黑体" w:cs="黑体"/>
          <w:b w:val="0"/>
          <w:bCs w:val="0"/>
          <w:color w:val="auto"/>
          <w:kern w:val="2"/>
          <w:sz w:val="32"/>
          <w:szCs w:val="32"/>
          <w:highlight w:val="none"/>
          <w:lang w:val="en-US" w:eastAsia="zh-CN" w:bidi="ar-SA"/>
        </w:rPr>
        <w:t>。</w:t>
      </w:r>
      <w:r>
        <w:rPr>
          <w:rFonts w:hint="eastAsia" w:ascii="Times New Roman" w:hAnsi="Times New Roman" w:cs="Times New Roman"/>
          <w:highlight w:val="none"/>
          <w:lang w:val="en-US" w:eastAsia="zh-CN"/>
        </w:rPr>
        <w:t>深化“四大检察”协同发展，全面加强立案、侦查、审判、执行活动监督，着力提升监督质效。强化刑事诉讼全流程监督，</w:t>
      </w:r>
      <w:r>
        <w:rPr>
          <w:rFonts w:hint="eastAsia" w:ascii="Times New Roman" w:hAnsi="Times New Roman" w:cs="Times New Roman"/>
          <w:color w:val="000000"/>
          <w:sz w:val="32"/>
          <w:szCs w:val="32"/>
          <w:lang w:val="en-US" w:eastAsia="zh-CN"/>
        </w:rPr>
        <w:t>推动</w:t>
      </w:r>
      <w:r>
        <w:rPr>
          <w:rFonts w:hint="default" w:ascii="Times New Roman" w:hAnsi="Times New Roman" w:eastAsia="仿宋_GB2312" w:cs="Times New Roman"/>
          <w:color w:val="000000"/>
          <w:sz w:val="32"/>
          <w:szCs w:val="32"/>
        </w:rPr>
        <w:t>构建以证据为中心的刑事指控体系</w:t>
      </w:r>
      <w:r>
        <w:rPr>
          <w:rFonts w:hint="eastAsia" w:ascii="Times New Roman" w:hAnsi="Times New Roman" w:cs="Times New Roman"/>
          <w:highlight w:val="none"/>
          <w:lang w:val="en-US" w:eastAsia="zh-CN"/>
        </w:rPr>
        <w:t>。</w:t>
      </w:r>
      <w:r>
        <w:rPr>
          <w:rFonts w:hint="default" w:ascii="Times New Roman" w:hAnsi="Times New Roman" w:eastAsia="仿宋_GB2312" w:cs="Times New Roman"/>
          <w:color w:val="000000"/>
          <w:sz w:val="32"/>
          <w:szCs w:val="32"/>
        </w:rPr>
        <w:t>着力加强民事</w:t>
      </w:r>
      <w:r>
        <w:rPr>
          <w:rFonts w:hint="eastAsia" w:ascii="Times New Roman" w:hAnsi="Times New Roman" w:cs="Times New Roman"/>
          <w:color w:val="000000"/>
          <w:sz w:val="32"/>
          <w:szCs w:val="32"/>
          <w:lang w:val="en-US" w:eastAsia="zh-CN"/>
        </w:rPr>
        <w:t>检察</w:t>
      </w:r>
      <w:r>
        <w:rPr>
          <w:rFonts w:hint="default" w:ascii="Times New Roman" w:hAnsi="Times New Roman" w:eastAsia="仿宋_GB2312" w:cs="Times New Roman"/>
          <w:color w:val="000000"/>
          <w:sz w:val="32"/>
          <w:szCs w:val="32"/>
        </w:rPr>
        <w:t>监督</w:t>
      </w:r>
      <w:r>
        <w:rPr>
          <w:rFonts w:hint="eastAsia" w:ascii="Times New Roman" w:hAnsi="Times New Roman" w:cs="Times New Roman"/>
          <w:highlight w:val="none"/>
          <w:lang w:val="en-US" w:eastAsia="zh-CN"/>
        </w:rPr>
        <w:t>，持续抓好民事生效裁判、审判活动监督，强化民事执行监督，常态化推进虚假诉讼监督，依法规范开展民事支持起诉工作。全面深化行政检察监督，依法规范推进行刑反向衔接，</w:t>
      </w:r>
      <w:r>
        <w:rPr>
          <w:rFonts w:hint="default" w:ascii="Times New Roman" w:hAnsi="Times New Roman" w:eastAsia="仿宋_GB2312" w:cs="Times New Roman"/>
          <w:color w:val="000000"/>
          <w:sz w:val="32"/>
          <w:szCs w:val="32"/>
        </w:rPr>
        <w:t>有序推进</w:t>
      </w:r>
      <w:bookmarkStart w:id="0" w:name="_GoBack"/>
      <w:r>
        <w:rPr>
          <w:rFonts w:hint="default" w:ascii="Times New Roman" w:hAnsi="Times New Roman" w:eastAsia="仿宋_GB2312" w:cs="Times New Roman"/>
          <w:color w:val="000000"/>
          <w:sz w:val="32"/>
          <w:szCs w:val="32"/>
        </w:rPr>
        <w:t>行政违法行为监督</w:t>
      </w:r>
      <w:bookmarkEnd w:id="0"/>
      <w:r>
        <w:rPr>
          <w:rFonts w:hint="eastAsia" w:ascii="Times New Roman" w:hAnsi="Times New Roman" w:cs="Times New Roman"/>
          <w:color w:val="000000"/>
          <w:sz w:val="32"/>
          <w:szCs w:val="32"/>
          <w:lang w:eastAsia="zh-CN"/>
        </w:rPr>
        <w:t>，</w:t>
      </w:r>
      <w:r>
        <w:rPr>
          <w:rFonts w:hint="eastAsia" w:ascii="Times New Roman" w:hAnsi="Times New Roman" w:cs="Times New Roman"/>
          <w:highlight w:val="none"/>
          <w:lang w:val="en-US" w:eastAsia="zh-CN"/>
        </w:rPr>
        <w:t>协同推进行政争议法治化实质性化解</w:t>
      </w:r>
      <w:r>
        <w:rPr>
          <w:rFonts w:hint="default" w:ascii="Times New Roman" w:hAnsi="Times New Roman" w:eastAsia="仿宋_GB2312" w:cs="Times New Roman"/>
          <w:color w:val="000000"/>
          <w:sz w:val="32"/>
          <w:szCs w:val="32"/>
        </w:rPr>
        <w:t>。</w:t>
      </w:r>
      <w:r>
        <w:rPr>
          <w:rFonts w:hint="eastAsia" w:ascii="Times New Roman" w:hAnsi="Times New Roman" w:cs="Times New Roman"/>
          <w:color w:val="000000"/>
          <w:sz w:val="32"/>
          <w:szCs w:val="32"/>
          <w:lang w:val="en-US" w:eastAsia="zh-CN"/>
        </w:rPr>
        <w:t>提升</w:t>
      </w:r>
      <w:r>
        <w:rPr>
          <w:rFonts w:hint="default" w:ascii="Times New Roman" w:hAnsi="Times New Roman" w:eastAsia="仿宋_GB2312" w:cs="Times New Roman"/>
          <w:color w:val="000000"/>
          <w:sz w:val="32"/>
          <w:szCs w:val="32"/>
        </w:rPr>
        <w:t>公益</w:t>
      </w:r>
      <w:r>
        <w:rPr>
          <w:rFonts w:hint="eastAsia" w:ascii="Times New Roman" w:hAnsi="Times New Roman" w:cs="Times New Roman"/>
          <w:color w:val="000000"/>
          <w:sz w:val="32"/>
          <w:szCs w:val="32"/>
          <w:lang w:val="en-US" w:eastAsia="zh-CN"/>
        </w:rPr>
        <w:t>诉讼监督</w:t>
      </w:r>
      <w:r>
        <w:rPr>
          <w:rFonts w:hint="default" w:ascii="Times New Roman" w:hAnsi="Times New Roman" w:eastAsia="仿宋_GB2312" w:cs="Times New Roman"/>
          <w:color w:val="000000"/>
          <w:sz w:val="32"/>
          <w:szCs w:val="32"/>
        </w:rPr>
        <w:t>精准性</w:t>
      </w:r>
      <w:r>
        <w:rPr>
          <w:rFonts w:hint="eastAsia" w:ascii="Times New Roman" w:hAnsi="Times New Roman" w:cs="Times New Roman"/>
          <w:color w:val="000000"/>
          <w:sz w:val="32"/>
          <w:szCs w:val="32"/>
          <w:lang w:val="en-US" w:eastAsia="zh-CN"/>
        </w:rPr>
        <w:t>实效性</w:t>
      </w:r>
      <w:r>
        <w:rPr>
          <w:rFonts w:hint="default" w:ascii="Times New Roman" w:hAnsi="Times New Roman" w:eastAsia="仿宋_GB2312" w:cs="Times New Roman"/>
          <w:color w:val="000000"/>
          <w:sz w:val="32"/>
          <w:szCs w:val="32"/>
        </w:rPr>
        <w:t>，抓好法定领域办案，做优做实新领域办案。</w:t>
      </w:r>
      <w:r>
        <w:rPr>
          <w:rFonts w:hint="eastAsia" w:ascii="Times New Roman" w:hAnsi="Times New Roman" w:cs="Times New Roman"/>
          <w:color w:val="000000"/>
          <w:sz w:val="32"/>
          <w:szCs w:val="32"/>
          <w:lang w:val="en-US" w:eastAsia="zh-CN"/>
        </w:rPr>
        <w:t>持续</w:t>
      </w:r>
      <w:r>
        <w:rPr>
          <w:rFonts w:hint="default" w:ascii="Times New Roman" w:hAnsi="Times New Roman" w:eastAsia="仿宋_GB2312" w:cs="Times New Roman"/>
          <w:color w:val="000000"/>
          <w:sz w:val="32"/>
          <w:szCs w:val="32"/>
        </w:rPr>
        <w:t>探索大数据法律监督模型，以数字检察赋能法律监督提质增效。</w:t>
      </w:r>
    </w:p>
    <w:p w14:paraId="677B94EB">
      <w:pPr>
        <w:pStyle w:val="5"/>
        <w:keepNext w:val="0"/>
        <w:keepLines w:val="0"/>
        <w:pageBreakBefore w:val="0"/>
        <w:widowControl w:val="0"/>
        <w:kinsoku/>
        <w:wordWrap/>
        <w:overflowPunct/>
        <w:topLinePunct w:val="0"/>
        <w:autoSpaceDE/>
        <w:autoSpaceDN/>
        <w:bidi w:val="0"/>
        <w:adjustRightInd/>
        <w:snapToGrid/>
        <w:spacing w:after="0" w:afterLines="0" w:line="620" w:lineRule="exact"/>
        <w:ind w:firstLine="640" w:firstLineChars="200"/>
        <w:textAlignment w:val="auto"/>
        <w:rPr>
          <w:rFonts w:hint="default" w:ascii="Times New Roman" w:hAnsi="Times New Roman" w:cs="Times New Roman"/>
          <w:highlight w:val="none"/>
          <w:lang w:val="en-US" w:eastAsia="zh-CN"/>
        </w:rPr>
      </w:pPr>
      <w:r>
        <w:rPr>
          <w:rFonts w:hint="eastAsia" w:ascii="黑体" w:hAnsi="黑体" w:eastAsia="黑体" w:cs="黑体"/>
          <w:b w:val="0"/>
          <w:bCs w:val="0"/>
          <w:color w:val="auto"/>
          <w:kern w:val="2"/>
          <w:sz w:val="32"/>
          <w:szCs w:val="32"/>
          <w:highlight w:val="none"/>
          <w:lang w:val="en-US" w:eastAsia="zh-CN" w:bidi="ar-SA"/>
        </w:rPr>
        <w:t>四</w:t>
      </w:r>
      <w:r>
        <w:rPr>
          <w:rFonts w:hint="default" w:ascii="黑体" w:hAnsi="黑体" w:eastAsia="黑体" w:cs="黑体"/>
          <w:b w:val="0"/>
          <w:bCs w:val="0"/>
          <w:color w:val="auto"/>
          <w:kern w:val="2"/>
          <w:sz w:val="32"/>
          <w:szCs w:val="32"/>
          <w:highlight w:val="none"/>
          <w:lang w:val="en-US" w:eastAsia="zh-CN" w:bidi="ar-SA"/>
        </w:rPr>
        <w:t>是聚力司法为民，以更优履职守护民生福祉。</w:t>
      </w:r>
      <w:r>
        <w:rPr>
          <w:rFonts w:hint="default" w:ascii="Times New Roman" w:hAnsi="Times New Roman" w:cs="Times New Roman"/>
          <w:highlight w:val="none"/>
          <w:lang w:val="en-US" w:eastAsia="zh-CN"/>
        </w:rPr>
        <w:t>坚持“民有所呼我有所应”</w:t>
      </w:r>
      <w:r>
        <w:rPr>
          <w:rFonts w:hint="eastAsia" w:ascii="Times New Roman" w:hAnsi="Times New Roman" w:cs="Times New Roman"/>
          <w:highlight w:val="none"/>
          <w:lang w:val="en-US" w:eastAsia="zh-CN"/>
        </w:rPr>
        <w:t>，切实将人民群众的利益放在首位。加大对民生领域犯罪的打击力度，严惩危害食品药品安全犯罪，对电信网络诈骗、盗抢骗、黄赌毒等人民群众反映强烈的违法犯罪一抓到底，守好群众的“菜篮子”“药箱子”“钱袋子”。强化未成年人权益保护和犯罪防治，对侵害未成年人犯罪出重拳、“零容忍”，对涉罪未成年人惩治与保护并举。积极开展司法救助工作，为困难群众雪中送炭，传递检察温度与人文关怀。</w:t>
      </w:r>
    </w:p>
    <w:p w14:paraId="38A0E0FA">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620" w:lineRule="exact"/>
        <w:ind w:firstLine="640" w:firstLineChars="200"/>
        <w:jc w:val="both"/>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黑体" w:hAnsi="黑体" w:eastAsia="黑体" w:cs="黑体"/>
          <w:b w:val="0"/>
          <w:bCs w:val="0"/>
          <w:color w:val="auto"/>
          <w:kern w:val="2"/>
          <w:sz w:val="32"/>
          <w:szCs w:val="32"/>
          <w:highlight w:val="none"/>
          <w:lang w:val="en-US" w:eastAsia="zh-CN" w:bidi="ar-SA"/>
        </w:rPr>
        <w:t>五</w:t>
      </w:r>
      <w:r>
        <w:rPr>
          <w:rFonts w:hint="default" w:ascii="黑体" w:hAnsi="黑体" w:eastAsia="黑体" w:cs="黑体"/>
          <w:b w:val="0"/>
          <w:bCs w:val="0"/>
          <w:color w:val="auto"/>
          <w:kern w:val="2"/>
          <w:sz w:val="32"/>
          <w:szCs w:val="32"/>
          <w:highlight w:val="none"/>
          <w:lang w:val="en-US" w:eastAsia="zh-CN" w:bidi="ar-SA"/>
        </w:rPr>
        <w:t>是聚力实干奋进，以更严要求锻造过硬队伍。</w:t>
      </w:r>
      <w:r>
        <w:rPr>
          <w:color w:val="auto"/>
        </w:rPr>
        <w:t>自觉接受人大监督、政协民主监督、社会舆论监督，</w:t>
      </w:r>
      <w:r>
        <w:rPr>
          <w:rFonts w:hint="default" w:ascii="Times New Roman" w:hAnsi="Times New Roman" w:eastAsia="仿宋_GB2312" w:cs="Times New Roman"/>
          <w:color w:val="auto"/>
          <w:sz w:val="32"/>
          <w:szCs w:val="32"/>
          <w:highlight w:val="none"/>
          <w:lang w:val="en-US" w:eastAsia="zh-CN"/>
        </w:rPr>
        <w:t>确保检察权依法规范运行。</w:t>
      </w:r>
      <w:r>
        <w:rPr>
          <w:color w:val="auto"/>
        </w:rPr>
        <w:t>全面从严管党治检，</w:t>
      </w:r>
      <w:r>
        <w:rPr>
          <w:rFonts w:hint="default" w:ascii="Times New Roman" w:hAnsi="Times New Roman" w:eastAsia="仿宋_GB2312" w:cs="Times New Roman"/>
          <w:color w:val="auto"/>
          <w:sz w:val="32"/>
          <w:szCs w:val="32"/>
          <w:highlight w:val="none"/>
          <w:lang w:val="en-US" w:eastAsia="zh-CN"/>
        </w:rPr>
        <w:t>驰而不息正风肃纪，以更有力举措落实好</w:t>
      </w:r>
      <w:r>
        <w:rPr>
          <w:rFonts w:hint="eastAsia" w:ascii="Times New Roman" w:hAnsi="Times New Roman" w:cs="Times New Roman"/>
          <w:color w:val="auto"/>
          <w:sz w:val="32"/>
          <w:szCs w:val="32"/>
          <w:highlight w:val="none"/>
          <w:lang w:val="en-US" w:eastAsia="zh-CN"/>
        </w:rPr>
        <w:t>中央八项规定及其实施细则</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cs="Times New Roman"/>
          <w:color w:val="auto"/>
          <w:sz w:val="32"/>
          <w:szCs w:val="32"/>
          <w:highlight w:val="none"/>
          <w:lang w:val="en-US" w:eastAsia="zh-CN"/>
        </w:rPr>
        <w:t>持续推进学习型机关建设，</w:t>
      </w:r>
      <w:r>
        <w:rPr>
          <w:rFonts w:hint="eastAsia" w:ascii="Times New Roman" w:hAnsi="Times New Roman"/>
          <w:color w:val="auto"/>
          <w:szCs w:val="32"/>
          <w:highlight w:val="none"/>
        </w:rPr>
        <w:t>做优</w:t>
      </w:r>
      <w:r>
        <w:rPr>
          <w:rFonts w:hint="eastAsia" w:ascii="Times New Roman" w:hAnsi="Times New Roman"/>
          <w:color w:val="auto"/>
          <w:szCs w:val="32"/>
          <w:highlight w:val="none"/>
          <w:lang w:eastAsia="zh-CN"/>
        </w:rPr>
        <w:t>“</w:t>
      </w:r>
      <w:r>
        <w:rPr>
          <w:rFonts w:hint="eastAsia" w:ascii="Times New Roman" w:hAnsi="Times New Roman"/>
          <w:color w:val="auto"/>
          <w:szCs w:val="32"/>
          <w:highlight w:val="none"/>
        </w:rPr>
        <w:t>薪火计划</w:t>
      </w:r>
      <w:r>
        <w:rPr>
          <w:rFonts w:hint="eastAsia" w:ascii="Times New Roman" w:hAnsi="Times New Roman"/>
          <w:color w:val="auto"/>
          <w:szCs w:val="32"/>
          <w:highlight w:val="none"/>
          <w:lang w:eastAsia="zh-CN"/>
        </w:rPr>
        <w:t>”</w:t>
      </w:r>
      <w:r>
        <w:rPr>
          <w:rFonts w:hint="eastAsia" w:ascii="Times New Roman" w:hAnsi="Times New Roman"/>
          <w:color w:val="auto"/>
          <w:szCs w:val="32"/>
          <w:highlight w:val="none"/>
        </w:rPr>
        <w:t>青年人才培养品牌</w:t>
      </w:r>
      <w:r>
        <w:rPr>
          <w:rFonts w:ascii="Times New Roman" w:hAnsi="Times New Roman"/>
          <w:color w:val="auto"/>
          <w:szCs w:val="32"/>
          <w:highlight w:val="none"/>
        </w:rPr>
        <w:t>，</w:t>
      </w:r>
      <w:r>
        <w:rPr>
          <w:rFonts w:hint="eastAsia" w:ascii="Times New Roman" w:hAnsi="Times New Roman"/>
          <w:color w:val="auto"/>
          <w:szCs w:val="32"/>
          <w:highlight w:val="none"/>
          <w:lang w:val="en-US" w:eastAsia="zh-CN"/>
        </w:rPr>
        <w:t>依托</w:t>
      </w:r>
      <w:r>
        <w:rPr>
          <w:rFonts w:ascii="Times New Roman" w:hAnsi="Times New Roman"/>
          <w:color w:val="auto"/>
          <w:szCs w:val="32"/>
          <w:highlight w:val="none"/>
        </w:rPr>
        <w:t>鼎检大讲坛、鼎检青沙龙、导师带新人“三个平台”，</w:t>
      </w:r>
      <w:r>
        <w:rPr>
          <w:rFonts w:hint="eastAsia" w:ascii="Times New Roman" w:hAnsi="Times New Roman"/>
          <w:color w:val="auto"/>
          <w:szCs w:val="32"/>
          <w:highlight w:val="none"/>
          <w:lang w:val="en-US" w:eastAsia="zh-CN"/>
        </w:rPr>
        <w:t>优化</w:t>
      </w:r>
      <w:r>
        <w:rPr>
          <w:rFonts w:hint="default" w:ascii="Times New Roman" w:hAnsi="Times New Roman" w:eastAsia="仿宋_GB2312" w:cs="Times New Roman"/>
          <w:color w:val="auto"/>
          <w:sz w:val="32"/>
          <w:szCs w:val="32"/>
        </w:rPr>
        <w:t>综合培养路径</w:t>
      </w:r>
      <w:r>
        <w:rPr>
          <w:rFonts w:hint="eastAsia" w:ascii="Times New Roman" w:hAnsi="Times New Roman" w:cs="Times New Roman"/>
          <w:color w:val="auto"/>
          <w:sz w:val="32"/>
          <w:szCs w:val="32"/>
          <w:lang w:eastAsia="zh-CN"/>
        </w:rPr>
        <w:t>，</w:t>
      </w:r>
      <w:r>
        <w:rPr>
          <w:rFonts w:hint="eastAsia" w:ascii="Times New Roman" w:hAnsi="Times New Roman"/>
          <w:color w:val="auto"/>
          <w:szCs w:val="32"/>
          <w:highlight w:val="none"/>
        </w:rPr>
        <w:t>继续在复杂案件办理、</w:t>
      </w:r>
      <w:r>
        <w:rPr>
          <w:rFonts w:hint="eastAsia" w:ascii="Times New Roman" w:hAnsi="Times New Roman"/>
          <w:color w:val="auto"/>
          <w:szCs w:val="32"/>
          <w:highlight w:val="none"/>
          <w:lang w:val="en-US" w:eastAsia="zh-CN"/>
        </w:rPr>
        <w:t>业务</w:t>
      </w:r>
      <w:r>
        <w:rPr>
          <w:rFonts w:hint="eastAsia" w:ascii="Times New Roman" w:hAnsi="Times New Roman"/>
          <w:color w:val="auto"/>
          <w:szCs w:val="32"/>
          <w:highlight w:val="none"/>
        </w:rPr>
        <w:t>技能竞赛、公文材料写作等方面锻炼青年干警，培养</w:t>
      </w:r>
      <w:r>
        <w:rPr>
          <w:rFonts w:hint="default" w:ascii="Times New Roman" w:hAnsi="Times New Roman" w:eastAsia="仿宋_GB2312" w:cs="Times New Roman"/>
          <w:color w:val="auto"/>
          <w:sz w:val="32"/>
          <w:szCs w:val="32"/>
        </w:rPr>
        <w:t>一专多能的</w:t>
      </w:r>
      <w:r>
        <w:rPr>
          <w:rFonts w:hint="eastAsia" w:ascii="Times New Roman" w:hAnsi="Times New Roman" w:cs="Times New Roman"/>
          <w:color w:val="auto"/>
          <w:sz w:val="32"/>
          <w:szCs w:val="32"/>
          <w:lang w:eastAsia="zh-CN"/>
        </w:rPr>
        <w:t>“</w:t>
      </w:r>
      <w:r>
        <w:rPr>
          <w:rFonts w:hint="default" w:ascii="Times New Roman" w:hAnsi="Times New Roman" w:eastAsia="仿宋_GB2312" w:cs="Times New Roman"/>
          <w:color w:val="auto"/>
          <w:sz w:val="32"/>
          <w:szCs w:val="32"/>
        </w:rPr>
        <w:t>全科检察官</w:t>
      </w:r>
      <w:r>
        <w:rPr>
          <w:rFonts w:hint="eastAsia" w:ascii="Times New Roman" w:hAnsi="Times New Roman" w:cs="Times New Roman"/>
          <w:color w:val="auto"/>
          <w:sz w:val="32"/>
          <w:szCs w:val="32"/>
          <w:lang w:eastAsia="zh-CN"/>
        </w:rPr>
        <w:t>”，</w:t>
      </w:r>
      <w:r>
        <w:rPr>
          <w:rFonts w:hint="eastAsia" w:ascii="Times New Roman" w:hAnsi="Times New Roman"/>
          <w:color w:val="auto"/>
          <w:szCs w:val="32"/>
          <w:highlight w:val="none"/>
        </w:rPr>
        <w:t>发掘</w:t>
      </w:r>
      <w:r>
        <w:rPr>
          <w:rFonts w:hint="eastAsia" w:ascii="Times New Roman" w:hAnsi="Times New Roman"/>
          <w:color w:val="auto"/>
          <w:szCs w:val="32"/>
          <w:highlight w:val="none"/>
          <w:lang w:val="en-US" w:eastAsia="zh-CN"/>
        </w:rPr>
        <w:t>更多</w:t>
      </w:r>
      <w:r>
        <w:rPr>
          <w:rFonts w:hint="eastAsia" w:ascii="Times New Roman" w:hAnsi="Times New Roman"/>
          <w:color w:val="auto"/>
          <w:szCs w:val="32"/>
          <w:highlight w:val="none"/>
        </w:rPr>
        <w:t>“国字号”“省字号”先进典型，</w:t>
      </w:r>
      <w:r>
        <w:rPr>
          <w:rFonts w:hint="default" w:ascii="Times New Roman" w:hAnsi="Times New Roman" w:eastAsia="仿宋_GB2312" w:cs="Times New Roman"/>
          <w:color w:val="auto"/>
          <w:sz w:val="32"/>
          <w:szCs w:val="32"/>
          <w:highlight w:val="none"/>
          <w:lang w:val="en-US" w:eastAsia="zh-CN"/>
        </w:rPr>
        <w:t>着力锻造忠诚干净担当的</w:t>
      </w:r>
      <w:r>
        <w:rPr>
          <w:rFonts w:hint="eastAsia" w:ascii="Times New Roman" w:hAnsi="Times New Roman" w:cs="Times New Roman"/>
          <w:color w:val="auto"/>
          <w:sz w:val="32"/>
          <w:szCs w:val="32"/>
          <w:highlight w:val="none"/>
          <w:lang w:val="en-US" w:eastAsia="zh-CN"/>
        </w:rPr>
        <w:t>鼎检</w:t>
      </w:r>
      <w:r>
        <w:rPr>
          <w:rFonts w:hint="default" w:ascii="Times New Roman" w:hAnsi="Times New Roman" w:eastAsia="仿宋_GB2312" w:cs="Times New Roman"/>
          <w:color w:val="auto"/>
          <w:sz w:val="32"/>
          <w:szCs w:val="32"/>
          <w:highlight w:val="none"/>
          <w:lang w:val="en-US" w:eastAsia="zh-CN"/>
        </w:rPr>
        <w:t>铁军</w:t>
      </w:r>
      <w:r>
        <w:rPr>
          <w:rFonts w:hint="eastAsia" w:ascii="Times New Roman" w:hAnsi="Times New Roman" w:cs="Times New Roman"/>
          <w:color w:val="auto"/>
          <w:sz w:val="32"/>
          <w:szCs w:val="32"/>
          <w:highlight w:val="none"/>
          <w:lang w:val="en-US" w:eastAsia="zh-CN"/>
        </w:rPr>
        <w:t>。</w:t>
      </w:r>
    </w:p>
    <w:p w14:paraId="0C81D0D0">
      <w:pPr>
        <w:pStyle w:val="5"/>
        <w:keepNext w:val="0"/>
        <w:keepLines w:val="0"/>
        <w:pageBreakBefore w:val="0"/>
        <w:widowControl w:val="0"/>
        <w:kinsoku/>
        <w:wordWrap/>
        <w:overflowPunct/>
        <w:topLinePunct w:val="0"/>
        <w:autoSpaceDE/>
        <w:autoSpaceDN/>
        <w:bidi w:val="0"/>
        <w:adjustRightInd/>
        <w:snapToGrid/>
        <w:spacing w:after="0" w:afterLines="0" w:line="62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cs="Times New Roman"/>
          <w:highlight w:val="none"/>
          <w:lang w:val="en-US" w:eastAsia="zh-CN"/>
        </w:rPr>
        <w:t>发展永无止境，奋斗未有穷期。各位代表，在新的一年，</w:t>
      </w:r>
      <w:r>
        <w:rPr>
          <w:rFonts w:hint="eastAsia"/>
          <w:highlight w:val="none"/>
        </w:rPr>
        <w:t>我们将在区委和上级检察院的坚强领导下，在区人大及其常委会的监督下，认真贯彻本次大会关于检察工作的决议，</w:t>
      </w:r>
      <w:r>
        <w:rPr>
          <w:rFonts w:hint="eastAsia"/>
          <w:highlight w:val="none"/>
          <w:lang w:val="en-US" w:eastAsia="zh-CN"/>
        </w:rPr>
        <w:t>忠诚履行法律监督职能，以跃马扬鞭的勇气、万马奔腾的活力、马不停蹄的干劲，</w:t>
      </w:r>
      <w:r>
        <w:rPr>
          <w:rFonts w:hint="default" w:ascii="Times New Roman" w:hAnsi="Times New Roman" w:eastAsia="仿宋_GB2312" w:cs="Times New Roman"/>
          <w:color w:val="000000"/>
          <w:sz w:val="32"/>
          <w:szCs w:val="32"/>
          <w:highlight w:val="none"/>
        </w:rPr>
        <w:t>为全面建设社会主义现代化鼎城作出新的更大贡献！</w:t>
      </w:r>
    </w:p>
    <w:p w14:paraId="7746AC22">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Times New Roman" w:hAnsi="Times New Roman" w:eastAsia="仿宋_GB2312" w:cs="Times New Roman"/>
          <w:highlight w:val="none"/>
          <w:lang w:val="en-US" w:eastAsia="zh-CN"/>
        </w:rPr>
      </w:pPr>
    </w:p>
    <w:p w14:paraId="7611A664">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600" w:lineRule="exact"/>
        <w:ind w:firstLine="640" w:firstLineChars="200"/>
        <w:jc w:val="both"/>
        <w:textAlignment w:val="auto"/>
        <w:rPr>
          <w:rFonts w:hint="default" w:ascii="楷体_GB2312" w:hAnsi="楷体_GB2312" w:eastAsia="楷体_GB2312" w:cs="楷体_GB2312"/>
          <w:highlight w:val="none"/>
          <w:lang w:val="en-US" w:eastAsia="zh-CN"/>
        </w:rPr>
      </w:pPr>
    </w:p>
    <w:p w14:paraId="45819B37">
      <w:pPr>
        <w:pStyle w:val="5"/>
        <w:keepNext w:val="0"/>
        <w:keepLines w:val="0"/>
        <w:pageBreakBefore w:val="0"/>
        <w:widowControl w:val="0"/>
        <w:kinsoku/>
        <w:wordWrap/>
        <w:overflowPunct/>
        <w:topLinePunct w:val="0"/>
        <w:autoSpaceDE/>
        <w:autoSpaceDN/>
        <w:bidi w:val="0"/>
        <w:adjustRightInd/>
        <w:snapToGrid/>
        <w:spacing w:after="0" w:afterLines="0" w:line="580" w:lineRule="exact"/>
        <w:textAlignment w:val="auto"/>
        <w:rPr>
          <w:rFonts w:hint="default" w:ascii="Times New Roman" w:hAnsi="Times New Roman" w:eastAsia="仿宋_GB2312" w:cs="Times New Roman"/>
          <w:highlight w:val="none"/>
          <w:lang w:val="en-US" w:eastAsia="zh-CN"/>
        </w:rPr>
      </w:pPr>
    </w:p>
    <w:p w14:paraId="7F9347E8">
      <w:pPr>
        <w:pStyle w:val="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Lines="0" w:afterAutospacing="0" w:line="580" w:lineRule="exact"/>
        <w:ind w:firstLine="640" w:firstLineChars="200"/>
        <w:jc w:val="both"/>
        <w:textAlignment w:val="auto"/>
        <w:rPr>
          <w:rFonts w:hint="default" w:ascii="Times New Roman" w:hAnsi="Times New Roman" w:eastAsia="楷体_GB2312" w:cs="Times New Roman"/>
          <w:highlight w:val="none"/>
          <w:lang w:val="en-US" w:eastAsia="zh-CN"/>
        </w:rPr>
      </w:pPr>
    </w:p>
    <w:p w14:paraId="55A72563">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65B15864">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6D834907">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0EEB58CA">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24946425">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3AAB43E3">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0A26CD9B">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10CF29D3">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3E13955B">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1EDC27CD">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671AD8BD">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68283048">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0FB449C5">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36FFE2F6">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01E13678">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7A9281C3">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373154B3">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380A8BB0">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3A09B581">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3808D9D6">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62ABAB7E">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491DCA07">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7B632037">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0B36E882">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1FD1A33B">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0C0C0C"/>
          <w:sz w:val="32"/>
          <w:szCs w:val="32"/>
        </w:rPr>
      </w:pPr>
    </w:p>
    <w:p w14:paraId="3BDC98BF">
      <w:pPr>
        <w:pStyle w:val="2"/>
        <w:ind w:left="0" w:leftChars="0" w:firstLine="0" w:firstLineChars="0"/>
        <w:rPr>
          <w:rFonts w:hint="default"/>
        </w:rPr>
      </w:pPr>
    </w:p>
    <w:p w14:paraId="37E0B616">
      <w:pPr>
        <w:rPr>
          <w:rFonts w:hint="default"/>
        </w:rPr>
      </w:pPr>
    </w:p>
    <w:p w14:paraId="0D6C707C">
      <w:pPr>
        <w:rPr>
          <w:rFonts w:hint="default"/>
          <w:sz w:val="13"/>
          <w:szCs w:val="13"/>
        </w:rPr>
      </w:pPr>
    </w:p>
    <w:p w14:paraId="204F7ACD">
      <w:pPr>
        <w:pStyle w:val="2"/>
        <w:ind w:left="0" w:leftChars="0" w:firstLine="0" w:firstLineChars="0"/>
        <w:rPr>
          <w:rFonts w:hint="default"/>
          <w:sz w:val="13"/>
          <w:szCs w:val="13"/>
        </w:rPr>
      </w:pPr>
    </w:p>
    <w:p w14:paraId="636E5AE5">
      <w:pPr>
        <w:rPr>
          <w:rFonts w:hint="default"/>
          <w:sz w:val="13"/>
          <w:szCs w:val="13"/>
        </w:rPr>
      </w:pPr>
    </w:p>
    <w:p w14:paraId="6690DEE3">
      <w:pPr>
        <w:rPr>
          <w:rFonts w:hint="default"/>
        </w:rPr>
      </w:pPr>
    </w:p>
    <w:p w14:paraId="5F808251">
      <w:pPr>
        <w:pStyle w:val="2"/>
        <w:rPr>
          <w:rFonts w:hint="default"/>
        </w:rPr>
      </w:pPr>
    </w:p>
    <w:p w14:paraId="0CA60E37">
      <w:pPr>
        <w:rPr>
          <w:rFonts w:hint="default"/>
        </w:rPr>
      </w:pPr>
    </w:p>
    <w:p w14:paraId="1E1D6460">
      <w:pPr>
        <w:pStyle w:val="2"/>
        <w:rPr>
          <w:rFonts w:hint="default"/>
        </w:rPr>
      </w:pPr>
    </w:p>
    <w:p w14:paraId="28A601DF">
      <w:pPr>
        <w:keepNext w:val="0"/>
        <w:keepLines w:val="0"/>
        <w:pageBreakBefore w:val="0"/>
        <w:widowControl w:val="0"/>
        <w:pBdr>
          <w:top w:val="single" w:color="auto" w:sz="6" w:space="1"/>
          <w:bottom w:val="single" w:color="auto" w:sz="6" w:space="1"/>
        </w:pBdr>
        <w:kinsoku/>
        <w:wordWrap/>
        <w:overflowPunct/>
        <w:topLinePunct w:val="0"/>
        <w:autoSpaceDE/>
        <w:autoSpaceDN/>
        <w:bidi w:val="0"/>
        <w:adjustRightInd/>
        <w:spacing w:line="600" w:lineRule="exact"/>
        <w:textAlignment w:val="auto"/>
        <w:rPr>
          <w:rFonts w:hint="default" w:ascii="Times New Roman" w:hAnsi="Times New Roman" w:eastAsia="黑体" w:cs="Times New Roman"/>
          <w:bCs/>
          <w:color w:val="0C0C0C"/>
          <w:sz w:val="28"/>
          <w:szCs w:val="36"/>
        </w:rPr>
      </w:pPr>
      <w:r>
        <w:rPr>
          <w:rFonts w:hint="default" w:ascii="Times New Roman" w:hAnsi="Times New Roman" w:eastAsia="仿宋_GB2312" w:cs="Times New Roman"/>
          <w:color w:val="0C0C0C"/>
          <w:sz w:val="28"/>
          <w:szCs w:val="28"/>
        </w:rPr>
        <w:t>区十</w:t>
      </w:r>
      <w:r>
        <w:rPr>
          <w:rFonts w:hint="eastAsia" w:ascii="Times New Roman" w:hAnsi="Times New Roman" w:cs="Times New Roman"/>
          <w:color w:val="0C0C0C"/>
          <w:sz w:val="28"/>
          <w:szCs w:val="28"/>
          <w:lang w:val="en-US" w:eastAsia="zh-CN"/>
        </w:rPr>
        <w:t>八</w:t>
      </w:r>
      <w:r>
        <w:rPr>
          <w:rFonts w:hint="default" w:ascii="Times New Roman" w:hAnsi="Times New Roman" w:eastAsia="仿宋_GB2312" w:cs="Times New Roman"/>
          <w:color w:val="0C0C0C"/>
          <w:sz w:val="28"/>
          <w:szCs w:val="28"/>
        </w:rPr>
        <w:t>届人大</w:t>
      </w:r>
      <w:r>
        <w:rPr>
          <w:rFonts w:hint="eastAsia" w:ascii="Times New Roman" w:hAnsi="Times New Roman" w:cs="Times New Roman"/>
          <w:color w:val="0C0C0C"/>
          <w:sz w:val="28"/>
          <w:szCs w:val="28"/>
          <w:lang w:val="en-US" w:eastAsia="zh-CN"/>
        </w:rPr>
        <w:t>六</w:t>
      </w:r>
      <w:r>
        <w:rPr>
          <w:rFonts w:hint="default" w:ascii="Times New Roman" w:hAnsi="Times New Roman" w:eastAsia="仿宋_GB2312" w:cs="Times New Roman"/>
          <w:color w:val="0C0C0C"/>
          <w:sz w:val="28"/>
          <w:szCs w:val="28"/>
        </w:rPr>
        <w:t xml:space="preserve">次会议秘书处                   </w:t>
      </w:r>
      <w:r>
        <w:rPr>
          <w:rFonts w:hint="eastAsia" w:ascii="Times New Roman" w:hAnsi="Times New Roman" w:cs="Times New Roman"/>
          <w:color w:val="0C0C0C"/>
          <w:sz w:val="28"/>
          <w:szCs w:val="28"/>
          <w:lang w:val="en-US" w:eastAsia="zh-CN"/>
        </w:rPr>
        <w:t xml:space="preserve">    </w:t>
      </w:r>
      <w:r>
        <w:rPr>
          <w:rFonts w:hint="default" w:ascii="Times New Roman" w:hAnsi="Times New Roman" w:eastAsia="仿宋_GB2312" w:cs="Times New Roman"/>
          <w:color w:val="0C0C0C"/>
          <w:sz w:val="28"/>
          <w:szCs w:val="28"/>
        </w:rPr>
        <w:t>二</w:t>
      </w:r>
      <w:r>
        <w:rPr>
          <w:rFonts w:hint="eastAsia" w:ascii="Times New Roman" w:hAnsi="Times New Roman" w:cs="Times New Roman"/>
          <w:color w:val="0C0C0C"/>
          <w:sz w:val="28"/>
          <w:szCs w:val="28"/>
          <w:lang w:val="en-US" w:eastAsia="zh-CN"/>
        </w:rPr>
        <w:t>〇</w:t>
      </w:r>
      <w:r>
        <w:rPr>
          <w:rFonts w:hint="default" w:ascii="Times New Roman" w:hAnsi="Times New Roman" w:eastAsia="仿宋_GB2312" w:cs="Times New Roman"/>
          <w:color w:val="0C0C0C"/>
          <w:sz w:val="28"/>
          <w:szCs w:val="28"/>
        </w:rPr>
        <w:t>二</w:t>
      </w:r>
      <w:r>
        <w:rPr>
          <w:rFonts w:hint="default" w:ascii="Times New Roman" w:hAnsi="Times New Roman" w:cs="Times New Roman"/>
          <w:color w:val="0C0C0C"/>
          <w:sz w:val="28"/>
          <w:szCs w:val="28"/>
          <w:lang w:val="en-US" w:eastAsia="zh-CN"/>
        </w:rPr>
        <w:t>六</w:t>
      </w:r>
      <w:r>
        <w:rPr>
          <w:rFonts w:hint="default" w:ascii="Times New Roman" w:hAnsi="Times New Roman" w:eastAsia="仿宋_GB2312" w:cs="Times New Roman"/>
          <w:color w:val="0C0C0C"/>
          <w:sz w:val="28"/>
          <w:szCs w:val="28"/>
        </w:rPr>
        <w:t>年</w:t>
      </w:r>
      <w:r>
        <w:rPr>
          <w:rFonts w:hint="default" w:ascii="Times New Roman" w:hAnsi="Times New Roman" w:cs="Times New Roman"/>
          <w:color w:val="0C0C0C"/>
          <w:sz w:val="28"/>
          <w:szCs w:val="28"/>
          <w:lang w:val="en-US" w:eastAsia="zh-CN"/>
        </w:rPr>
        <w:t>一</w:t>
      </w:r>
      <w:r>
        <w:rPr>
          <w:rFonts w:hint="default" w:ascii="Times New Roman" w:hAnsi="Times New Roman" w:eastAsia="仿宋_GB2312" w:cs="Times New Roman"/>
          <w:color w:val="0C0C0C"/>
          <w:sz w:val="28"/>
          <w:szCs w:val="28"/>
        </w:rPr>
        <w:t>月</w:t>
      </w:r>
      <w:r>
        <w:rPr>
          <w:rFonts w:hint="default" w:ascii="Times New Roman" w:hAnsi="Times New Roman" w:eastAsia="黑体" w:cs="Times New Roman"/>
          <w:bCs/>
          <w:color w:val="0C0C0C"/>
          <w:sz w:val="28"/>
          <w:szCs w:val="36"/>
        </w:rPr>
        <w:br w:type="page"/>
      </w:r>
    </w:p>
    <w:p w14:paraId="0EC34A9E">
      <w:pPr>
        <w:keepNext w:val="0"/>
        <w:keepLines w:val="0"/>
        <w:pageBreakBefore w:val="0"/>
        <w:widowControl w:val="0"/>
        <w:kinsoku/>
        <w:wordWrap/>
        <w:overflowPunct/>
        <w:topLinePunct w:val="0"/>
        <w:autoSpaceDE/>
        <w:autoSpaceDN/>
        <w:bidi w:val="0"/>
        <w:adjustRightInd/>
        <w:spacing w:line="580" w:lineRule="exact"/>
        <w:textAlignment w:val="auto"/>
        <w:rPr>
          <w:rFonts w:hint="default" w:ascii="Times New Roman" w:hAnsi="Times New Roman" w:eastAsia="黑体" w:cs="Times New Roman"/>
          <w:bCs/>
          <w:color w:val="0C0C0C"/>
          <w:sz w:val="28"/>
          <w:szCs w:val="36"/>
        </w:rPr>
      </w:pPr>
      <w:r>
        <w:rPr>
          <w:rFonts w:hint="default" w:ascii="Times New Roman" w:hAnsi="Times New Roman" w:eastAsia="黑体" w:cs="Times New Roman"/>
          <w:bCs/>
          <w:color w:val="0C0C0C"/>
          <w:sz w:val="28"/>
          <w:szCs w:val="36"/>
        </w:rPr>
        <w:t>附件1</w:t>
      </w:r>
    </w:p>
    <w:p w14:paraId="65855125">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default" w:ascii="Times New Roman" w:hAnsi="Times New Roman" w:cs="Times New Roman"/>
          <w:color w:val="0C0C0C"/>
        </w:rPr>
      </w:pPr>
    </w:p>
    <w:p w14:paraId="7C0C5B8B">
      <w:pPr>
        <w:keepNext w:val="0"/>
        <w:keepLines w:val="0"/>
        <w:pageBreakBefore w:val="0"/>
        <w:widowControl w:val="0"/>
        <w:kinsoku/>
        <w:wordWrap/>
        <w:overflowPunct/>
        <w:topLinePunct w:val="0"/>
        <w:autoSpaceDE/>
        <w:autoSpaceDN/>
        <w:bidi w:val="0"/>
        <w:adjustRightInd/>
        <w:snapToGrid w:val="0"/>
        <w:spacing w:line="580" w:lineRule="exact"/>
        <w:jc w:val="center"/>
        <w:textAlignment w:val="auto"/>
        <w:rPr>
          <w:rFonts w:hint="default" w:ascii="Times New Roman" w:hAnsi="Times New Roman" w:eastAsia="方正小标宋简体" w:cs="Times New Roman"/>
          <w:b w:val="0"/>
          <w:bCs/>
          <w:color w:val="0C0C0C"/>
          <w:sz w:val="44"/>
          <w:szCs w:val="44"/>
        </w:rPr>
      </w:pPr>
      <w:r>
        <w:rPr>
          <w:rFonts w:hint="default" w:ascii="Times New Roman" w:hAnsi="Times New Roman" w:eastAsia="方正小标宋简体" w:cs="Times New Roman"/>
          <w:b w:val="0"/>
          <w:bCs/>
          <w:color w:val="0C0C0C"/>
          <w:spacing w:val="40"/>
          <w:sz w:val="44"/>
          <w:szCs w:val="44"/>
        </w:rPr>
        <w:t>有关用语说</w:t>
      </w:r>
      <w:r>
        <w:rPr>
          <w:rFonts w:hint="default" w:ascii="Times New Roman" w:hAnsi="Times New Roman" w:eastAsia="方正小标宋简体" w:cs="Times New Roman"/>
          <w:b w:val="0"/>
          <w:bCs/>
          <w:color w:val="0C0C0C"/>
          <w:sz w:val="44"/>
          <w:szCs w:val="44"/>
        </w:rPr>
        <w:t>明</w:t>
      </w:r>
    </w:p>
    <w:p w14:paraId="48B39894">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default" w:ascii="Times New Roman" w:hAnsi="Times New Roman" w:eastAsia="仿宋_GB2312" w:cs="Times New Roman"/>
          <w:kern w:val="2"/>
          <w:sz w:val="32"/>
          <w:szCs w:val="36"/>
          <w:highlight w:val="none"/>
          <w:lang w:val="en-US" w:eastAsia="zh-CN" w:bidi="ar-SA"/>
        </w:rPr>
      </w:pPr>
    </w:p>
    <w:p w14:paraId="142C2A59">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default" w:ascii="Times New Roman" w:hAnsi="Times New Roman" w:eastAsia="仿宋_GB2312" w:cs="Times New Roman"/>
          <w:kern w:val="2"/>
          <w:sz w:val="32"/>
          <w:szCs w:val="36"/>
          <w:highlight w:val="none"/>
          <w:lang w:val="en-US" w:eastAsia="zh-CN" w:bidi="ar-SA"/>
        </w:rPr>
      </w:pPr>
    </w:p>
    <w:p w14:paraId="5BF22D72">
      <w:pPr>
        <w:keepNext w:val="0"/>
        <w:keepLines w:val="0"/>
        <w:pageBreakBefore w:val="0"/>
        <w:widowControl w:val="0"/>
        <w:numPr>
          <w:ilvl w:val="0"/>
          <w:numId w:val="0"/>
        </w:numPr>
        <w:kinsoku/>
        <w:wordWrap/>
        <w:overflowPunct/>
        <w:topLinePunct w:val="0"/>
        <w:autoSpaceDE/>
        <w:autoSpaceDN/>
        <w:bidi w:val="0"/>
        <w:adjustRightInd/>
        <w:snapToGrid/>
        <w:spacing w:line="580" w:lineRule="atLeast"/>
        <w:ind w:firstLine="640" w:firstLineChars="200"/>
        <w:textAlignment w:val="auto"/>
        <w:rPr>
          <w:rFonts w:hint="default" w:ascii="Times New Roman" w:hAnsi="Times New Roman" w:eastAsia="仿宋_GB2312" w:cs="Times New Roman"/>
          <w:kern w:val="2"/>
          <w:sz w:val="32"/>
          <w:szCs w:val="36"/>
          <w:highlight w:val="none"/>
          <w:lang w:val="en-US" w:eastAsia="zh-CN" w:bidi="ar-SA"/>
        </w:rPr>
      </w:pPr>
      <w:r>
        <w:rPr>
          <w:rFonts w:hint="default" w:ascii="Times New Roman" w:hAnsi="Times New Roman" w:eastAsia="黑体" w:cs="Times New Roman"/>
          <w:b w:val="0"/>
          <w:bCs w:val="0"/>
          <w:color w:val="auto"/>
          <w:kern w:val="2"/>
          <w:sz w:val="32"/>
          <w:szCs w:val="32"/>
          <w:highlight w:val="none"/>
          <w:lang w:val="en-US" w:eastAsia="zh-CN" w:bidi="ar-SA"/>
        </w:rPr>
        <w:t>1.附条件不起诉（第4页第11行</w:t>
      </w:r>
      <w:r>
        <w:rPr>
          <w:rFonts w:hint="eastAsia" w:ascii="黑体" w:hAnsi="黑体" w:eastAsia="黑体" w:cs="黑体"/>
          <w:b w:val="0"/>
          <w:bCs w:val="0"/>
          <w:color w:val="auto"/>
          <w:kern w:val="2"/>
          <w:sz w:val="32"/>
          <w:szCs w:val="32"/>
          <w:highlight w:val="none"/>
          <w:lang w:val="en-US" w:eastAsia="zh-CN" w:bidi="ar-SA"/>
        </w:rPr>
        <w:t>）：</w:t>
      </w:r>
      <w:r>
        <w:rPr>
          <w:rFonts w:hint="default" w:ascii="Times New Roman" w:hAnsi="Times New Roman" w:eastAsia="仿宋_GB2312" w:cs="Times New Roman"/>
          <w:kern w:val="2"/>
          <w:sz w:val="32"/>
          <w:szCs w:val="36"/>
          <w:highlight w:val="none"/>
          <w:lang w:val="en-US" w:eastAsia="zh-CN" w:bidi="ar-SA"/>
        </w:rPr>
        <w:t>刑事诉讼法第282条规定，检察机关在审查起诉时，对未成年人实施的涉嫌侵犯公民人身权利、民主权利、侵犯财产、妨害社会管理秩序犯罪，可能判处一年有期徒刑以下刑罚，符合起诉条件，但有悔罪表现的，可以作出附条件不起诉的决定，并设置6至12个月的考验期，由检察机关对被附条件不起诉的未成年犯罪嫌疑人开展监督考察，如果考验期内未违反相关规定，考验期满后作出不起诉决定，以促使涉罪未成年人顺利回归社会。</w:t>
      </w:r>
    </w:p>
    <w:p w14:paraId="06407F65">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eastAsia" w:ascii="Times New Roman" w:hAnsi="Times New Roman" w:cs="Times New Roman"/>
          <w:b w:val="0"/>
          <w:kern w:val="2"/>
          <w:sz w:val="32"/>
          <w:szCs w:val="32"/>
          <w:highlight w:val="none"/>
          <w:lang w:val="en-US" w:eastAsia="zh-CN" w:bidi="ar-SA"/>
        </w:rPr>
      </w:pPr>
      <w:r>
        <w:rPr>
          <w:rFonts w:hint="eastAsia" w:ascii="Times New Roman" w:hAnsi="Times New Roman" w:eastAsia="黑体" w:cs="Times New Roman"/>
          <w:b w:val="0"/>
          <w:bCs w:val="0"/>
          <w:color w:val="auto"/>
          <w:kern w:val="2"/>
          <w:sz w:val="32"/>
          <w:szCs w:val="32"/>
          <w:highlight w:val="none"/>
          <w:lang w:val="en-US" w:eastAsia="zh-CN" w:bidi="ar-SA"/>
        </w:rPr>
        <w:t>2</w:t>
      </w:r>
      <w:r>
        <w:rPr>
          <w:rFonts w:hint="default" w:ascii="Times New Roman" w:hAnsi="Times New Roman" w:eastAsia="黑体" w:cs="Times New Roman"/>
          <w:b w:val="0"/>
          <w:bCs w:val="0"/>
          <w:color w:val="auto"/>
          <w:kern w:val="2"/>
          <w:sz w:val="32"/>
          <w:szCs w:val="32"/>
          <w:highlight w:val="none"/>
          <w:lang w:val="en-US" w:eastAsia="zh-CN" w:bidi="ar-SA"/>
        </w:rPr>
        <w:t>.行刑反向衔接（第5页第1</w:t>
      </w:r>
      <w:r>
        <w:rPr>
          <w:rFonts w:hint="eastAsia" w:ascii="Times New Roman" w:hAnsi="Times New Roman" w:eastAsia="黑体" w:cs="Times New Roman"/>
          <w:b w:val="0"/>
          <w:bCs w:val="0"/>
          <w:color w:val="auto"/>
          <w:kern w:val="2"/>
          <w:sz w:val="32"/>
          <w:szCs w:val="32"/>
          <w:highlight w:val="none"/>
          <w:lang w:val="en-US" w:eastAsia="zh-CN" w:bidi="ar-SA"/>
        </w:rPr>
        <w:t>7</w:t>
      </w:r>
      <w:r>
        <w:rPr>
          <w:rFonts w:hint="default" w:ascii="黑体" w:hAnsi="黑体" w:eastAsia="黑体" w:cs="黑体"/>
          <w:b w:val="0"/>
          <w:bCs w:val="0"/>
          <w:color w:val="auto"/>
          <w:kern w:val="2"/>
          <w:sz w:val="32"/>
          <w:szCs w:val="32"/>
          <w:highlight w:val="none"/>
          <w:lang w:val="en-US" w:eastAsia="zh-CN" w:bidi="ar-SA"/>
        </w:rPr>
        <w:t>行</w:t>
      </w:r>
      <w:r>
        <w:rPr>
          <w:rFonts w:hint="eastAsia" w:ascii="黑体" w:hAnsi="黑体" w:eastAsia="黑体" w:cs="黑体"/>
          <w:b w:val="0"/>
          <w:bCs w:val="0"/>
          <w:color w:val="auto"/>
          <w:kern w:val="2"/>
          <w:sz w:val="32"/>
          <w:szCs w:val="32"/>
          <w:highlight w:val="none"/>
          <w:lang w:val="en-US" w:eastAsia="zh-CN" w:bidi="ar-SA"/>
        </w:rPr>
        <w:t>）：</w:t>
      </w:r>
      <w:r>
        <w:rPr>
          <w:rFonts w:hint="eastAsia" w:ascii="Times New Roman" w:hAnsi="Times New Roman" w:cs="Times New Roman"/>
          <w:b w:val="0"/>
          <w:kern w:val="2"/>
          <w:sz w:val="32"/>
          <w:szCs w:val="32"/>
          <w:highlight w:val="none"/>
          <w:lang w:val="en-US" w:eastAsia="zh-CN" w:bidi="ar-SA"/>
        </w:rPr>
        <w:t>行刑反向衔接是指人民检察院对决定不起诉的案件，经审查认为需要给予被不起诉人行政处罚的，及时提出检察意见，移送有关行政主管机关，并对案件处理情况进行跟踪督促。</w:t>
      </w:r>
    </w:p>
    <w:p w14:paraId="1DED483B">
      <w:pPr>
        <w:pStyle w:val="2"/>
        <w:keepNext w:val="0"/>
        <w:keepLines w:val="0"/>
        <w:pageBreakBefore w:val="0"/>
        <w:widowControl w:val="0"/>
        <w:kinsoku/>
        <w:wordWrap/>
        <w:overflowPunct/>
        <w:topLinePunct w:val="0"/>
        <w:autoSpaceDE/>
        <w:autoSpaceDN/>
        <w:bidi w:val="0"/>
        <w:adjustRightInd/>
        <w:snapToGrid/>
        <w:spacing w:line="580" w:lineRule="atLeast"/>
        <w:textAlignment w:val="auto"/>
        <w:rPr>
          <w:rFonts w:hint="eastAsia" w:eastAsia="仿宋_GB2312" w:cs="仿宋_GB2312"/>
          <w:color w:val="000000"/>
          <w:sz w:val="32"/>
          <w:szCs w:val="32"/>
          <w:lang w:val="en-US" w:eastAsia="zh-CN"/>
        </w:rPr>
      </w:pPr>
      <w:r>
        <w:rPr>
          <w:rFonts w:hint="eastAsia" w:eastAsia="黑体" w:cs="Times New Roman"/>
          <w:b w:val="0"/>
          <w:bCs w:val="0"/>
          <w:color w:val="auto"/>
          <w:kern w:val="2"/>
          <w:sz w:val="32"/>
          <w:szCs w:val="32"/>
          <w:highlight w:val="none"/>
          <w:lang w:val="en-US" w:eastAsia="zh-CN" w:bidi="ar-SA"/>
        </w:rPr>
        <w:t>3</w:t>
      </w:r>
      <w:r>
        <w:rPr>
          <w:rFonts w:hint="eastAsia" w:ascii="Times New Roman" w:hAnsi="Times New Roman" w:eastAsia="黑体" w:cs="Times New Roman"/>
          <w:b w:val="0"/>
          <w:bCs w:val="0"/>
          <w:color w:val="auto"/>
          <w:kern w:val="2"/>
          <w:sz w:val="32"/>
          <w:szCs w:val="32"/>
          <w:highlight w:val="none"/>
          <w:lang w:val="en-US" w:eastAsia="zh-CN" w:bidi="ar-SA"/>
        </w:rPr>
        <w:t>.不刑</w:t>
      </w:r>
      <w:r>
        <w:rPr>
          <w:rFonts w:hint="eastAsia" w:eastAsia="黑体" w:cs="Times New Roman"/>
          <w:b w:val="0"/>
          <w:bCs w:val="0"/>
          <w:color w:val="auto"/>
          <w:kern w:val="2"/>
          <w:sz w:val="32"/>
          <w:szCs w:val="32"/>
          <w:highlight w:val="none"/>
          <w:lang w:val="en-US" w:eastAsia="zh-CN" w:bidi="ar-SA"/>
        </w:rPr>
        <w:t>又</w:t>
      </w:r>
      <w:r>
        <w:rPr>
          <w:rFonts w:hint="eastAsia" w:ascii="Times New Roman" w:hAnsi="Times New Roman" w:eastAsia="黑体" w:cs="Times New Roman"/>
          <w:b w:val="0"/>
          <w:bCs w:val="0"/>
          <w:color w:val="auto"/>
          <w:kern w:val="2"/>
          <w:sz w:val="32"/>
          <w:szCs w:val="32"/>
          <w:highlight w:val="none"/>
          <w:lang w:val="en-US" w:eastAsia="zh-CN" w:bidi="ar-SA"/>
        </w:rPr>
        <w:t>不罚（</w:t>
      </w:r>
      <w:r>
        <w:rPr>
          <w:rFonts w:hint="default" w:ascii="Times New Roman" w:hAnsi="Times New Roman" w:eastAsia="黑体" w:cs="Times New Roman"/>
          <w:b w:val="0"/>
          <w:bCs w:val="0"/>
          <w:color w:val="auto"/>
          <w:kern w:val="2"/>
          <w:sz w:val="32"/>
          <w:szCs w:val="32"/>
          <w:highlight w:val="none"/>
          <w:lang w:val="en-US" w:eastAsia="zh-CN" w:bidi="ar-SA"/>
        </w:rPr>
        <w:t>第</w:t>
      </w:r>
      <w:r>
        <w:rPr>
          <w:rFonts w:hint="eastAsia" w:ascii="Times New Roman" w:hAnsi="Times New Roman" w:eastAsia="黑体" w:cs="Times New Roman"/>
          <w:b w:val="0"/>
          <w:bCs w:val="0"/>
          <w:color w:val="auto"/>
          <w:kern w:val="2"/>
          <w:sz w:val="32"/>
          <w:szCs w:val="32"/>
          <w:highlight w:val="none"/>
          <w:lang w:val="en-US" w:eastAsia="zh-CN" w:bidi="ar-SA"/>
        </w:rPr>
        <w:t>5</w:t>
      </w:r>
      <w:r>
        <w:rPr>
          <w:rFonts w:hint="default" w:ascii="Times New Roman" w:hAnsi="Times New Roman" w:eastAsia="黑体" w:cs="Times New Roman"/>
          <w:b w:val="0"/>
          <w:bCs w:val="0"/>
          <w:color w:val="auto"/>
          <w:kern w:val="2"/>
          <w:sz w:val="32"/>
          <w:szCs w:val="32"/>
          <w:highlight w:val="none"/>
          <w:lang w:val="en-US" w:eastAsia="zh-CN" w:bidi="ar-SA"/>
        </w:rPr>
        <w:t>页第</w:t>
      </w:r>
      <w:r>
        <w:rPr>
          <w:rFonts w:hint="eastAsia" w:ascii="Times New Roman" w:hAnsi="Times New Roman" w:eastAsia="黑体" w:cs="Times New Roman"/>
          <w:b w:val="0"/>
          <w:bCs w:val="0"/>
          <w:color w:val="auto"/>
          <w:kern w:val="2"/>
          <w:sz w:val="32"/>
          <w:szCs w:val="32"/>
          <w:highlight w:val="none"/>
          <w:lang w:val="en-US" w:eastAsia="zh-CN" w:bidi="ar-SA"/>
        </w:rPr>
        <w:t>1</w:t>
      </w:r>
      <w:r>
        <w:rPr>
          <w:rFonts w:hint="eastAsia" w:eastAsia="黑体" w:cs="Times New Roman"/>
          <w:b w:val="0"/>
          <w:bCs w:val="0"/>
          <w:color w:val="auto"/>
          <w:kern w:val="2"/>
          <w:sz w:val="32"/>
          <w:szCs w:val="32"/>
          <w:highlight w:val="none"/>
          <w:lang w:val="en-US" w:eastAsia="zh-CN" w:bidi="ar-SA"/>
        </w:rPr>
        <w:t>8</w:t>
      </w:r>
      <w:r>
        <w:rPr>
          <w:rFonts w:hint="default" w:ascii="黑体" w:hAnsi="黑体" w:eastAsia="黑体" w:cs="黑体"/>
          <w:b w:val="0"/>
          <w:bCs w:val="0"/>
          <w:color w:val="auto"/>
          <w:kern w:val="2"/>
          <w:sz w:val="32"/>
          <w:szCs w:val="32"/>
          <w:highlight w:val="none"/>
          <w:lang w:val="en-US" w:eastAsia="zh-CN" w:bidi="ar-SA"/>
        </w:rPr>
        <w:t>行</w:t>
      </w:r>
      <w:r>
        <w:rPr>
          <w:rFonts w:hint="eastAsia" w:ascii="黑体" w:hAnsi="黑体" w:eastAsia="黑体" w:cs="黑体"/>
          <w:b w:val="0"/>
          <w:bCs w:val="0"/>
          <w:color w:val="auto"/>
          <w:kern w:val="2"/>
          <w:sz w:val="32"/>
          <w:szCs w:val="32"/>
          <w:highlight w:val="none"/>
          <w:lang w:val="en-US" w:eastAsia="zh-CN" w:bidi="ar-SA"/>
        </w:rPr>
        <w:t>）：</w:t>
      </w:r>
      <w:r>
        <w:rPr>
          <w:rFonts w:hint="eastAsia" w:eastAsia="仿宋_GB2312" w:cs="仿宋_GB2312"/>
          <w:color w:val="000000"/>
          <w:sz w:val="32"/>
          <w:szCs w:val="32"/>
          <w:lang w:val="en-US" w:eastAsia="zh-CN"/>
        </w:rPr>
        <w:t>《中华人民共和国刑事诉讼法》及《中华人民共和国行政处罚法》规定，对于犯罪情节轻微，依照</w:t>
      </w:r>
      <w:r>
        <w:rPr>
          <w:rFonts w:hint="eastAsia" w:eastAsia="仿宋_GB2312" w:cs="仿宋_GB2312"/>
          <w:color w:val="000000"/>
          <w:sz w:val="32"/>
          <w:szCs w:val="32"/>
          <w:lang w:val="en-US" w:eastAsia="zh-CN"/>
        </w:rPr>
        <w:fldChar w:fldCharType="begin"/>
      </w:r>
      <w:r>
        <w:rPr>
          <w:rFonts w:hint="eastAsia" w:eastAsia="仿宋_GB2312" w:cs="仿宋_GB2312"/>
          <w:color w:val="000000"/>
          <w:sz w:val="32"/>
          <w:szCs w:val="32"/>
          <w:lang w:val="en-US" w:eastAsia="zh-CN"/>
        </w:rPr>
        <w:instrText xml:space="preserve"> HYPERLINK "javascript:SLC("703dba7964330b85bdfb",256346,0)" </w:instrText>
      </w:r>
      <w:r>
        <w:rPr>
          <w:rFonts w:hint="eastAsia" w:eastAsia="仿宋_GB2312" w:cs="仿宋_GB2312"/>
          <w:color w:val="000000"/>
          <w:sz w:val="32"/>
          <w:szCs w:val="32"/>
          <w:lang w:val="en-US" w:eastAsia="zh-CN"/>
        </w:rPr>
        <w:fldChar w:fldCharType="separate"/>
      </w:r>
      <w:r>
        <w:rPr>
          <w:rFonts w:hint="eastAsia" w:eastAsia="仿宋_GB2312" w:cs="仿宋_GB2312"/>
          <w:color w:val="000000"/>
          <w:sz w:val="32"/>
          <w:szCs w:val="32"/>
          <w:lang w:val="en-US" w:eastAsia="zh-CN"/>
        </w:rPr>
        <w:t>刑法</w:t>
      </w:r>
      <w:r>
        <w:rPr>
          <w:rFonts w:hint="eastAsia" w:eastAsia="仿宋_GB2312" w:cs="仿宋_GB2312"/>
          <w:color w:val="000000"/>
          <w:sz w:val="32"/>
          <w:szCs w:val="32"/>
          <w:lang w:val="en-US" w:eastAsia="zh-CN"/>
        </w:rPr>
        <w:fldChar w:fldCharType="end"/>
      </w:r>
      <w:r>
        <w:rPr>
          <w:rFonts w:hint="eastAsia" w:eastAsia="仿宋_GB2312" w:cs="仿宋_GB2312"/>
          <w:color w:val="000000"/>
          <w:sz w:val="32"/>
          <w:szCs w:val="32"/>
          <w:lang w:val="en-US" w:eastAsia="zh-CN"/>
        </w:rPr>
        <w:t>规定不需要判处刑罚或者免除刑罚的，人民检察院可以作出不起诉决定，但应当给予行政处罚的，检察机关应当及时将案件移送有关行政机关。“不刑又不罚”是指违法行为既不追究刑事责任，也不给予行政处罚，违法行为人没有承担任何刑事或行政法律后果。</w:t>
      </w:r>
    </w:p>
    <w:p w14:paraId="2685F97F">
      <w:pPr>
        <w:keepNext w:val="0"/>
        <w:keepLines w:val="0"/>
        <w:pageBreakBefore w:val="0"/>
        <w:widowControl w:val="0"/>
        <w:kinsoku/>
        <w:wordWrap/>
        <w:overflowPunct/>
        <w:topLinePunct w:val="0"/>
        <w:autoSpaceDE/>
        <w:autoSpaceDN/>
        <w:bidi w:val="0"/>
        <w:adjustRightInd/>
        <w:spacing w:line="580" w:lineRule="exact"/>
        <w:ind w:firstLine="640" w:firstLineChars="200"/>
        <w:textAlignment w:val="auto"/>
        <w:rPr>
          <w:rFonts w:hint="default"/>
          <w:lang w:val="en-US" w:eastAsia="zh-CN"/>
        </w:rPr>
      </w:pPr>
      <w:r>
        <w:rPr>
          <w:rFonts w:hint="eastAsia" w:ascii="Times New Roman" w:hAnsi="Times New Roman" w:eastAsia="黑体" w:cs="Times New Roman"/>
          <w:b w:val="0"/>
          <w:bCs w:val="0"/>
          <w:color w:val="auto"/>
          <w:kern w:val="2"/>
          <w:sz w:val="32"/>
          <w:szCs w:val="32"/>
          <w:highlight w:val="none"/>
          <w:lang w:val="en-US" w:eastAsia="zh-CN" w:bidi="ar-SA"/>
        </w:rPr>
        <w:t>4.“</w:t>
      </w:r>
      <w:r>
        <w:rPr>
          <w:rFonts w:hint="default" w:ascii="Times New Roman" w:hAnsi="Times New Roman" w:eastAsia="黑体" w:cs="Times New Roman"/>
          <w:b w:val="0"/>
          <w:bCs w:val="0"/>
          <w:color w:val="auto"/>
          <w:kern w:val="2"/>
          <w:sz w:val="32"/>
          <w:szCs w:val="32"/>
          <w:highlight w:val="none"/>
          <w:lang w:val="en-US" w:eastAsia="zh-CN" w:bidi="ar-SA"/>
        </w:rPr>
        <w:t>三个规定</w:t>
      </w:r>
      <w:r>
        <w:rPr>
          <w:rFonts w:hint="eastAsia" w:ascii="Times New Roman" w:hAnsi="Times New Roman" w:eastAsia="黑体" w:cs="Times New Roman"/>
          <w:b w:val="0"/>
          <w:bCs w:val="0"/>
          <w:color w:val="auto"/>
          <w:kern w:val="2"/>
          <w:sz w:val="32"/>
          <w:szCs w:val="32"/>
          <w:highlight w:val="none"/>
          <w:lang w:val="en-US" w:eastAsia="zh-CN" w:bidi="ar-SA"/>
        </w:rPr>
        <w:t>”</w:t>
      </w:r>
      <w:r>
        <w:rPr>
          <w:rFonts w:hint="default" w:ascii="Times New Roman" w:hAnsi="Times New Roman" w:eastAsia="黑体" w:cs="Times New Roman"/>
          <w:b w:val="0"/>
          <w:bCs w:val="0"/>
          <w:color w:val="auto"/>
          <w:kern w:val="2"/>
          <w:sz w:val="32"/>
          <w:szCs w:val="32"/>
          <w:highlight w:val="none"/>
          <w:lang w:val="en-US" w:eastAsia="zh-CN" w:bidi="ar-SA"/>
        </w:rPr>
        <w:t>（第</w:t>
      </w:r>
      <w:r>
        <w:rPr>
          <w:rFonts w:hint="eastAsia" w:ascii="Times New Roman" w:hAnsi="Times New Roman" w:eastAsia="黑体" w:cs="Times New Roman"/>
          <w:b w:val="0"/>
          <w:bCs w:val="0"/>
          <w:color w:val="auto"/>
          <w:kern w:val="2"/>
          <w:sz w:val="32"/>
          <w:szCs w:val="32"/>
          <w:highlight w:val="none"/>
          <w:lang w:val="en-US" w:eastAsia="zh-CN" w:bidi="ar-SA"/>
        </w:rPr>
        <w:t>7</w:t>
      </w:r>
      <w:r>
        <w:rPr>
          <w:rFonts w:hint="default" w:ascii="Times New Roman" w:hAnsi="Times New Roman" w:eastAsia="黑体" w:cs="Times New Roman"/>
          <w:b w:val="0"/>
          <w:bCs w:val="0"/>
          <w:color w:val="auto"/>
          <w:kern w:val="2"/>
          <w:sz w:val="32"/>
          <w:szCs w:val="32"/>
          <w:highlight w:val="none"/>
          <w:lang w:val="en-US" w:eastAsia="zh-CN" w:bidi="ar-SA"/>
        </w:rPr>
        <w:t>页第</w:t>
      </w:r>
      <w:r>
        <w:rPr>
          <w:rFonts w:hint="eastAsia" w:ascii="Times New Roman" w:hAnsi="Times New Roman" w:eastAsia="黑体" w:cs="Times New Roman"/>
          <w:b w:val="0"/>
          <w:bCs w:val="0"/>
          <w:color w:val="auto"/>
          <w:kern w:val="2"/>
          <w:sz w:val="32"/>
          <w:szCs w:val="32"/>
          <w:highlight w:val="none"/>
          <w:lang w:val="en-US" w:eastAsia="zh-CN" w:bidi="ar-SA"/>
        </w:rPr>
        <w:t>3</w:t>
      </w:r>
      <w:r>
        <w:rPr>
          <w:rFonts w:hint="default" w:ascii="Times New Roman" w:hAnsi="Times New Roman" w:eastAsia="黑体" w:cs="Times New Roman"/>
          <w:b w:val="0"/>
          <w:bCs w:val="0"/>
          <w:color w:val="auto"/>
          <w:kern w:val="2"/>
          <w:sz w:val="32"/>
          <w:szCs w:val="32"/>
          <w:highlight w:val="none"/>
          <w:lang w:val="en-US" w:eastAsia="zh-CN" w:bidi="ar-SA"/>
        </w:rPr>
        <w:t>行</w:t>
      </w:r>
      <w:r>
        <w:rPr>
          <w:rFonts w:hint="default" w:ascii="黑体" w:hAnsi="黑体" w:eastAsia="黑体" w:cs="黑体"/>
          <w:b w:val="0"/>
          <w:bCs w:val="0"/>
          <w:color w:val="auto"/>
          <w:kern w:val="2"/>
          <w:sz w:val="32"/>
          <w:szCs w:val="32"/>
          <w:highlight w:val="none"/>
          <w:lang w:val="en-US" w:eastAsia="zh-CN" w:bidi="ar-SA"/>
        </w:rPr>
        <w:t>）：</w:t>
      </w:r>
      <w:r>
        <w:rPr>
          <w:rFonts w:hint="default" w:ascii="Times New Roman" w:hAnsi="Times New Roman" w:eastAsia="仿宋_GB2312" w:cs="Times New Roman"/>
          <w:kern w:val="2"/>
          <w:sz w:val="32"/>
          <w:szCs w:val="36"/>
          <w:highlight w:val="none"/>
          <w:lang w:val="en-US" w:eastAsia="zh-CN" w:bidi="ar-SA"/>
        </w:rPr>
        <w:t>是指中共中央办公厅、国务院办公厅印发的《领导干部干预司法活动、插手具体案件处理的记录、通报和责任追究规定》；中央政法委印发的《司法机关内部人员过问案件的记录和责任追究规定》；最高人民法院、最高人民检察院、公安部、国家安全部、司法部印发的《关于进一步规范司法人员与当事人、律师、特殊关系人、中介组织接触交往行为的若干规定》。</w:t>
      </w:r>
    </w:p>
    <w:p w14:paraId="15676653">
      <w:pPr>
        <w:keepNext w:val="0"/>
        <w:keepLines w:val="0"/>
        <w:pageBreakBefore w:val="0"/>
        <w:widowControl w:val="0"/>
        <w:kinsoku/>
        <w:wordWrap/>
        <w:overflowPunct/>
        <w:topLinePunct w:val="0"/>
        <w:autoSpaceDE/>
        <w:autoSpaceDN/>
        <w:bidi w:val="0"/>
        <w:adjustRightInd/>
        <w:snapToGrid/>
        <w:spacing w:line="580" w:lineRule="atLeast"/>
        <w:ind w:firstLine="640" w:firstLineChars="200"/>
        <w:textAlignment w:val="auto"/>
        <w:rPr>
          <w:rFonts w:hint="default" w:ascii="Times New Roman" w:hAnsi="Times New Roman" w:eastAsia="仿宋_GB2312" w:cs="Times New Roman"/>
          <w:kern w:val="2"/>
          <w:sz w:val="32"/>
          <w:szCs w:val="36"/>
          <w:highlight w:val="none"/>
          <w:lang w:val="en-US" w:eastAsia="zh-CN" w:bidi="ar-SA"/>
        </w:rPr>
      </w:pPr>
      <w:r>
        <w:rPr>
          <w:rFonts w:hint="eastAsia" w:ascii="Times New Roman" w:hAnsi="Times New Roman" w:eastAsia="黑体" w:cs="Times New Roman"/>
          <w:b w:val="0"/>
          <w:bCs w:val="0"/>
          <w:color w:val="auto"/>
          <w:kern w:val="2"/>
          <w:sz w:val="32"/>
          <w:szCs w:val="32"/>
          <w:highlight w:val="none"/>
          <w:lang w:val="en-US" w:eastAsia="zh-CN" w:bidi="ar-SA"/>
        </w:rPr>
        <w:t>5</w:t>
      </w:r>
      <w:r>
        <w:rPr>
          <w:rFonts w:hint="default" w:ascii="Times New Roman" w:hAnsi="Times New Roman" w:eastAsia="黑体" w:cs="Times New Roman"/>
          <w:b w:val="0"/>
          <w:bCs w:val="0"/>
          <w:color w:val="auto"/>
          <w:kern w:val="2"/>
          <w:sz w:val="32"/>
          <w:szCs w:val="32"/>
          <w:highlight w:val="none"/>
          <w:lang w:val="en-US" w:eastAsia="zh-CN" w:bidi="ar-SA"/>
        </w:rPr>
        <w:t>.行政违法行为监督（第</w:t>
      </w:r>
      <w:r>
        <w:rPr>
          <w:rFonts w:hint="eastAsia" w:ascii="Times New Roman" w:hAnsi="Times New Roman" w:eastAsia="黑体" w:cs="Times New Roman"/>
          <w:b w:val="0"/>
          <w:bCs w:val="0"/>
          <w:color w:val="auto"/>
          <w:kern w:val="2"/>
          <w:sz w:val="32"/>
          <w:szCs w:val="32"/>
          <w:highlight w:val="none"/>
          <w:lang w:val="en-US" w:eastAsia="zh-CN" w:bidi="ar-SA"/>
        </w:rPr>
        <w:t>9</w:t>
      </w:r>
      <w:r>
        <w:rPr>
          <w:rFonts w:hint="default" w:ascii="Times New Roman" w:hAnsi="Times New Roman" w:eastAsia="黑体" w:cs="Times New Roman"/>
          <w:b w:val="0"/>
          <w:bCs w:val="0"/>
          <w:color w:val="auto"/>
          <w:kern w:val="2"/>
          <w:sz w:val="32"/>
          <w:szCs w:val="32"/>
          <w:highlight w:val="none"/>
          <w:lang w:val="en-US" w:eastAsia="zh-CN" w:bidi="ar-SA"/>
        </w:rPr>
        <w:t>页第</w:t>
      </w:r>
      <w:r>
        <w:rPr>
          <w:rFonts w:hint="eastAsia" w:ascii="Times New Roman" w:hAnsi="Times New Roman" w:eastAsia="黑体" w:cs="Times New Roman"/>
          <w:b w:val="0"/>
          <w:bCs w:val="0"/>
          <w:color w:val="auto"/>
          <w:kern w:val="2"/>
          <w:sz w:val="32"/>
          <w:szCs w:val="32"/>
          <w:highlight w:val="none"/>
          <w:lang w:val="en-US" w:eastAsia="zh-CN" w:bidi="ar-SA"/>
        </w:rPr>
        <w:t>22</w:t>
      </w:r>
      <w:r>
        <w:rPr>
          <w:rFonts w:hint="default" w:ascii="黑体" w:hAnsi="黑体" w:eastAsia="黑体" w:cs="黑体"/>
          <w:b w:val="0"/>
          <w:bCs w:val="0"/>
          <w:color w:val="auto"/>
          <w:kern w:val="2"/>
          <w:sz w:val="32"/>
          <w:szCs w:val="32"/>
          <w:highlight w:val="none"/>
          <w:lang w:val="en-US" w:eastAsia="zh-CN" w:bidi="ar-SA"/>
        </w:rPr>
        <w:t>行）：</w:t>
      </w:r>
      <w:r>
        <w:rPr>
          <w:rFonts w:hint="default" w:ascii="Times New Roman" w:hAnsi="Times New Roman" w:eastAsia="仿宋_GB2312" w:cs="Times New Roman"/>
          <w:kern w:val="2"/>
          <w:sz w:val="32"/>
          <w:szCs w:val="36"/>
          <w:highlight w:val="none"/>
          <w:lang w:val="en-US" w:eastAsia="zh-CN" w:bidi="ar-SA"/>
        </w:rPr>
        <w:t>《中共中央关于加强新时代检察机关法律监督工作的意见》要求，检察机关</w:t>
      </w:r>
      <w:r>
        <w:rPr>
          <w:rFonts w:hint="eastAsia" w:ascii="Times New Roman" w:hAnsi="Times New Roman" w:cs="Times New Roman"/>
          <w:kern w:val="2"/>
          <w:sz w:val="32"/>
          <w:szCs w:val="36"/>
          <w:highlight w:val="none"/>
          <w:lang w:val="en-US" w:eastAsia="zh-CN" w:bidi="ar-SA"/>
        </w:rPr>
        <w:t>“</w:t>
      </w:r>
      <w:r>
        <w:rPr>
          <w:rFonts w:hint="default" w:ascii="Times New Roman" w:hAnsi="Times New Roman" w:eastAsia="仿宋_GB2312" w:cs="Times New Roman"/>
          <w:kern w:val="2"/>
          <w:sz w:val="32"/>
          <w:szCs w:val="36"/>
          <w:highlight w:val="none"/>
          <w:lang w:val="en-US" w:eastAsia="zh-CN" w:bidi="ar-SA"/>
        </w:rPr>
        <w:t>在履行法律监督职责中发现行政机关违法行使职权或者不行使职权的，可以依照法律规定制发检察建议等督促纠正</w:t>
      </w:r>
      <w:r>
        <w:rPr>
          <w:rFonts w:hint="eastAsia" w:ascii="Times New Roman" w:hAnsi="Times New Roman" w:cs="Times New Roman"/>
          <w:kern w:val="2"/>
          <w:sz w:val="32"/>
          <w:szCs w:val="36"/>
          <w:highlight w:val="none"/>
          <w:lang w:val="en-US" w:eastAsia="zh-CN" w:bidi="ar-SA"/>
        </w:rPr>
        <w:t>”</w:t>
      </w:r>
      <w:r>
        <w:rPr>
          <w:rFonts w:hint="default" w:ascii="Times New Roman" w:hAnsi="Times New Roman" w:eastAsia="仿宋_GB2312" w:cs="Times New Roman"/>
          <w:kern w:val="2"/>
          <w:sz w:val="32"/>
          <w:szCs w:val="36"/>
          <w:highlight w:val="none"/>
          <w:lang w:val="en-US" w:eastAsia="zh-CN" w:bidi="ar-SA"/>
        </w:rPr>
        <w:t>。《中共中央关于全面推进依法治国若干重大问题的决定》指出，</w:t>
      </w:r>
      <w:r>
        <w:rPr>
          <w:rFonts w:hint="eastAsia" w:ascii="Times New Roman" w:hAnsi="Times New Roman" w:cs="Times New Roman"/>
          <w:kern w:val="2"/>
          <w:sz w:val="32"/>
          <w:szCs w:val="36"/>
          <w:highlight w:val="none"/>
          <w:lang w:val="en-US" w:eastAsia="zh-CN" w:bidi="ar-SA"/>
        </w:rPr>
        <w:t>“</w:t>
      </w:r>
      <w:r>
        <w:rPr>
          <w:rFonts w:hint="default" w:ascii="Times New Roman" w:hAnsi="Times New Roman" w:eastAsia="仿宋_GB2312" w:cs="Times New Roman"/>
          <w:kern w:val="2"/>
          <w:sz w:val="32"/>
          <w:szCs w:val="36"/>
          <w:highlight w:val="none"/>
          <w:lang w:val="en-US" w:eastAsia="zh-CN" w:bidi="ar-SA"/>
        </w:rPr>
        <w:t>人民检察院在履行职责中发现行政机关违法行使职权或者不行使职权的行为，应该督促纠正</w:t>
      </w:r>
      <w:r>
        <w:rPr>
          <w:rFonts w:hint="eastAsia" w:ascii="Times New Roman" w:hAnsi="Times New Roman" w:cs="Times New Roman"/>
          <w:kern w:val="2"/>
          <w:sz w:val="32"/>
          <w:szCs w:val="36"/>
          <w:highlight w:val="none"/>
          <w:lang w:val="en-US" w:eastAsia="zh-CN" w:bidi="ar-SA"/>
        </w:rPr>
        <w:t>”</w:t>
      </w:r>
      <w:r>
        <w:rPr>
          <w:rFonts w:hint="default" w:ascii="Times New Roman" w:hAnsi="Times New Roman" w:eastAsia="仿宋_GB2312" w:cs="Times New Roman"/>
          <w:kern w:val="2"/>
          <w:sz w:val="32"/>
          <w:szCs w:val="36"/>
          <w:highlight w:val="none"/>
          <w:lang w:val="en-US" w:eastAsia="zh-CN" w:bidi="ar-SA"/>
        </w:rPr>
        <w:t>。</w:t>
      </w:r>
    </w:p>
    <w:p w14:paraId="1BD9A8F5">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default" w:ascii="Times New Roman" w:hAnsi="Times New Roman" w:eastAsia="仿宋_GB2312" w:cs="Times New Roman"/>
          <w:kern w:val="2"/>
          <w:sz w:val="32"/>
          <w:szCs w:val="36"/>
          <w:highlight w:val="none"/>
          <w:lang w:val="en-US" w:eastAsia="zh-CN" w:bidi="ar-SA"/>
        </w:rPr>
      </w:pPr>
    </w:p>
    <w:p w14:paraId="60EFB45C">
      <w:pPr>
        <w:pStyle w:val="9"/>
        <w:keepNext w:val="0"/>
        <w:keepLines w:val="0"/>
        <w:pageBreakBefore w:val="0"/>
        <w:kinsoku/>
        <w:wordWrap/>
        <w:overflowPunct/>
        <w:topLinePunct w:val="0"/>
        <w:autoSpaceDE/>
        <w:autoSpaceDN/>
        <w:bidi w:val="0"/>
        <w:adjustRightInd/>
        <w:spacing w:line="580" w:lineRule="exact"/>
        <w:ind w:firstLine="480" w:firstLineChars="200"/>
        <w:textAlignment w:val="auto"/>
        <w:rPr>
          <w:rFonts w:hint="default" w:ascii="Times New Roman" w:hAnsi="Times New Roman" w:eastAsia="仿宋_GB2312" w:cs="Times New Roman"/>
          <w:lang w:val="en-US" w:eastAsia="zh-CN"/>
        </w:rPr>
      </w:pPr>
    </w:p>
    <w:p w14:paraId="14696A18">
      <w:pPr>
        <w:rPr>
          <w:rFonts w:hint="default" w:ascii="Times New Roman" w:hAnsi="Times New Roman" w:eastAsia="楷体_GB2312" w:cs="Times New Roman"/>
          <w:highlight w:val="none"/>
          <w:lang w:val="en-US" w:eastAsia="zh-CN"/>
        </w:rPr>
      </w:pPr>
      <w:r>
        <w:rPr>
          <w:rFonts w:hint="default" w:ascii="Times New Roman" w:hAnsi="Times New Roman" w:eastAsia="楷体_GB2312" w:cs="Times New Roman"/>
          <w:highlight w:val="none"/>
          <w:lang w:val="en-US" w:eastAsia="zh-CN"/>
        </w:rPr>
        <w:br w:type="page"/>
      </w:r>
    </w:p>
    <w:p w14:paraId="47AD42DC">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Times New Roman" w:hAnsi="Times New Roman" w:eastAsia="黑体" w:cs="Times New Roman"/>
          <w:bCs/>
          <w:color w:val="0C0C0C"/>
          <w:sz w:val="32"/>
          <w:szCs w:val="32"/>
        </w:rPr>
      </w:pPr>
      <w:r>
        <w:rPr>
          <w:rFonts w:hint="default" w:ascii="Times New Roman" w:hAnsi="Times New Roman" w:eastAsia="黑体" w:cs="Times New Roman"/>
          <w:bCs/>
          <w:color w:val="0C0C0C"/>
          <w:sz w:val="32"/>
          <w:szCs w:val="32"/>
        </w:rPr>
        <w:t>附件2</w:t>
      </w:r>
    </w:p>
    <w:p w14:paraId="61356152">
      <w:pPr>
        <w:keepNext w:val="0"/>
        <w:keepLines w:val="0"/>
        <w:pageBreakBefore w:val="0"/>
        <w:widowControl w:val="0"/>
        <w:kinsoku/>
        <w:wordWrap/>
        <w:overflowPunct/>
        <w:topLinePunct w:val="0"/>
        <w:autoSpaceDE/>
        <w:autoSpaceDN/>
        <w:bidi w:val="0"/>
        <w:adjustRightInd/>
        <w:spacing w:line="600" w:lineRule="exact"/>
        <w:ind w:firstLine="643"/>
        <w:textAlignment w:val="auto"/>
        <w:rPr>
          <w:rFonts w:hint="default" w:ascii="Times New Roman" w:hAnsi="Times New Roman" w:eastAsia="仿宋" w:cs="Times New Roman"/>
          <w:b/>
          <w:color w:val="0C0C0C"/>
        </w:rPr>
      </w:pPr>
    </w:p>
    <w:p w14:paraId="1412B2F9">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小标宋简体" w:cs="Times New Roman"/>
          <w:color w:val="0C0C0C"/>
          <w:sz w:val="44"/>
          <w:szCs w:val="44"/>
        </w:rPr>
      </w:pPr>
      <w:r>
        <w:rPr>
          <w:rFonts w:hint="default" w:ascii="Times New Roman" w:hAnsi="Times New Roman" w:eastAsia="方正小标宋简体" w:cs="Times New Roman"/>
          <w:color w:val="0C0C0C"/>
          <w:sz w:val="44"/>
          <w:szCs w:val="44"/>
        </w:rPr>
        <w:t>常德市鼎城区人民检察院</w:t>
      </w:r>
    </w:p>
    <w:p w14:paraId="231276CE">
      <w:pPr>
        <w:pStyle w:val="9"/>
        <w:keepNext w:val="0"/>
        <w:keepLines w:val="0"/>
        <w:pageBreakBefore w:val="0"/>
        <w:kinsoku/>
        <w:wordWrap/>
        <w:overflowPunct/>
        <w:topLinePunct w:val="0"/>
        <w:autoSpaceDE/>
        <w:autoSpaceDN/>
        <w:bidi w:val="0"/>
        <w:adjustRightInd/>
        <w:spacing w:line="580" w:lineRule="exact"/>
        <w:ind w:firstLine="880" w:firstLineChars="200"/>
        <w:textAlignment w:val="auto"/>
        <w:rPr>
          <w:rFonts w:hint="default" w:ascii="Times New Roman" w:hAnsi="Times New Roman" w:eastAsia="方正小标宋简体" w:cs="Times New Roman"/>
          <w:color w:val="0C0C0C"/>
          <w:sz w:val="44"/>
          <w:szCs w:val="44"/>
        </w:rPr>
      </w:pPr>
      <w:r>
        <w:rPr>
          <w:rFonts w:hint="default" w:ascii="Times New Roman" w:hAnsi="Times New Roman" w:eastAsia="方正小标宋简体" w:cs="Times New Roman"/>
          <w:color w:val="0C0C0C"/>
          <w:sz w:val="44"/>
          <w:szCs w:val="44"/>
        </w:rPr>
        <w:t>官方微信公众号、视频号二维码名片</w:t>
      </w:r>
    </w:p>
    <w:p w14:paraId="22A201F0">
      <w:pPr>
        <w:pStyle w:val="9"/>
        <w:keepNext w:val="0"/>
        <w:keepLines w:val="0"/>
        <w:pageBreakBefore w:val="0"/>
        <w:kinsoku/>
        <w:wordWrap/>
        <w:overflowPunct/>
        <w:topLinePunct w:val="0"/>
        <w:autoSpaceDE/>
        <w:autoSpaceDN/>
        <w:bidi w:val="0"/>
        <w:adjustRightInd/>
        <w:spacing w:line="580" w:lineRule="exact"/>
        <w:textAlignment w:val="auto"/>
        <w:rPr>
          <w:rFonts w:hint="default" w:ascii="Times New Roman" w:hAnsi="Times New Roman" w:cs="Times New Roman"/>
          <w:color w:val="0C0C0C"/>
        </w:rPr>
      </w:pPr>
    </w:p>
    <w:p w14:paraId="20DE5343">
      <w:pPr>
        <w:bidi w:val="0"/>
        <w:jc w:val="center"/>
        <w:rPr>
          <w:rFonts w:hint="default" w:ascii="Times New Roman" w:hAnsi="Times New Roman" w:cs="Times New Roman"/>
          <w:color w:val="595959" w:themeColor="text1" w:themeTint="A6"/>
          <w:lang w:val="en-US" w:eastAsia="zh-CN"/>
          <w14:textFill>
            <w14:solidFill>
              <w14:schemeClr w14:val="tx1">
                <w14:lumMod w14:val="65000"/>
                <w14:lumOff w14:val="35000"/>
              </w14:schemeClr>
            </w14:solidFill>
          </w14:textFill>
        </w:rPr>
      </w:pPr>
      <w:r>
        <w:rPr>
          <w:rFonts w:hint="default" w:ascii="Times New Roman" w:hAnsi="Times New Roman" w:cs="Times New Roman"/>
          <w:color w:val="595959" w:themeColor="text1" w:themeTint="A6"/>
          <w14:textFill>
            <w14:solidFill>
              <w14:schemeClr w14:val="tx1">
                <w14:lumMod w14:val="65000"/>
                <w14:lumOff w14:val="35000"/>
              </w14:schemeClr>
            </w14:solidFill>
          </w14:textFill>
        </w:rPr>
        <w:drawing>
          <wp:anchor distT="0" distB="0" distL="114300" distR="114300" simplePos="0" relativeHeight="251659264" behindDoc="0" locked="0" layoutInCell="1" allowOverlap="1">
            <wp:simplePos x="0" y="0"/>
            <wp:positionH relativeFrom="column">
              <wp:posOffset>1637665</wp:posOffset>
            </wp:positionH>
            <wp:positionV relativeFrom="paragraph">
              <wp:posOffset>70485</wp:posOffset>
            </wp:positionV>
            <wp:extent cx="2339975" cy="2339975"/>
            <wp:effectExtent l="0" t="0" r="3175" b="3175"/>
            <wp:wrapTopAndBottom/>
            <wp:docPr id="2" name="图片 2" descr="eec1be239680d62e2f6536913e57a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c1be239680d62e2f6536913e57a1b"/>
                    <pic:cNvPicPr>
                      <a:picLocks noChangeAspect="1"/>
                    </pic:cNvPicPr>
                  </pic:nvPicPr>
                  <pic:blipFill>
                    <a:blip r:embed="rId5"/>
                    <a:stretch>
                      <a:fillRect/>
                    </a:stretch>
                  </pic:blipFill>
                  <pic:spPr>
                    <a:xfrm>
                      <a:off x="0" y="0"/>
                      <a:ext cx="2339975" cy="2339975"/>
                    </a:xfrm>
                    <a:prstGeom prst="rect">
                      <a:avLst/>
                    </a:prstGeom>
                    <a:noFill/>
                    <a:ln>
                      <a:noFill/>
                    </a:ln>
                  </pic:spPr>
                </pic:pic>
              </a:graphicData>
            </a:graphic>
          </wp:anchor>
        </w:drawing>
      </w:r>
      <w:r>
        <w:rPr>
          <w:rFonts w:hint="default" w:ascii="Times New Roman" w:hAnsi="Times New Roman" w:cs="Times New Roman"/>
          <w:color w:val="595959" w:themeColor="text1" w:themeTint="A6"/>
          <w:lang w:val="en-US" w:eastAsia="zh-CN"/>
          <w14:textFill>
            <w14:solidFill>
              <w14:schemeClr w14:val="tx1">
                <w14:lumMod w14:val="65000"/>
                <w14:lumOff w14:val="35000"/>
              </w14:schemeClr>
            </w14:solidFill>
          </w14:textFill>
        </w:rPr>
        <w:t>公众号</w:t>
      </w:r>
    </w:p>
    <w:p w14:paraId="4C3D68D7">
      <w:pPr>
        <w:bidi w:val="0"/>
        <w:jc w:val="center"/>
        <w:rPr>
          <w:rFonts w:hint="default" w:ascii="Times New Roman" w:hAnsi="Times New Roman" w:cs="Times New Roman"/>
          <w:color w:val="595959" w:themeColor="text1" w:themeTint="A6"/>
          <w:lang w:val="en-US" w:eastAsia="zh-CN"/>
          <w14:textFill>
            <w14:solidFill>
              <w14:schemeClr w14:val="tx1">
                <w14:lumMod w14:val="65000"/>
                <w14:lumOff w14:val="35000"/>
              </w14:schemeClr>
            </w14:solidFill>
          </w14:textFill>
        </w:rPr>
      </w:pPr>
      <w:r>
        <w:rPr>
          <w:rFonts w:hint="default" w:ascii="Times New Roman" w:hAnsi="Times New Roman" w:cs="Times New Roman"/>
          <w:color w:val="0C0C0C"/>
        </w:rPr>
        <w:drawing>
          <wp:anchor distT="0" distB="0" distL="114300" distR="114300" simplePos="0" relativeHeight="251661312" behindDoc="0" locked="0" layoutInCell="1" allowOverlap="1">
            <wp:simplePos x="0" y="0"/>
            <wp:positionH relativeFrom="page">
              <wp:posOffset>2610485</wp:posOffset>
            </wp:positionH>
            <wp:positionV relativeFrom="paragraph">
              <wp:posOffset>320040</wp:posOffset>
            </wp:positionV>
            <wp:extent cx="2339975" cy="2368550"/>
            <wp:effectExtent l="0" t="0" r="3175" b="3175"/>
            <wp:wrapTopAndBottom/>
            <wp:docPr id="3" name="图片 3" descr="E:/2026/2026人大报告/视频号.jpg视频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E:/2026/2026人大报告/视频号.jpg视频号"/>
                    <pic:cNvPicPr>
                      <a:picLocks noChangeAspect="1"/>
                    </pic:cNvPicPr>
                  </pic:nvPicPr>
                  <pic:blipFill>
                    <a:blip r:embed="rId6"/>
                    <a:srcRect l="12459" t="23667" r="11292" b="18789"/>
                    <a:stretch>
                      <a:fillRect/>
                    </a:stretch>
                  </pic:blipFill>
                  <pic:spPr>
                    <a:xfrm>
                      <a:off x="0" y="0"/>
                      <a:ext cx="2339975" cy="2368550"/>
                    </a:xfrm>
                    <a:prstGeom prst="rect">
                      <a:avLst/>
                    </a:prstGeom>
                    <a:noFill/>
                    <a:ln>
                      <a:noFill/>
                    </a:ln>
                  </pic:spPr>
                </pic:pic>
              </a:graphicData>
            </a:graphic>
          </wp:anchor>
        </w:drawing>
      </w:r>
      <w:r>
        <w:rPr>
          <w:rFonts w:hint="default" w:ascii="Times New Roman" w:hAnsi="Times New Roman" w:cs="Times New Roman"/>
          <w:color w:val="595959" w:themeColor="text1" w:themeTint="A6"/>
          <w:lang w:val="en-US" w:eastAsia="zh-CN"/>
          <w14:textFill>
            <w14:solidFill>
              <w14:schemeClr w14:val="tx1">
                <w14:lumMod w14:val="65000"/>
                <w14:lumOff w14:val="35000"/>
              </w14:schemeClr>
            </w14:solidFill>
          </w14:textFill>
        </w:rPr>
        <w:t>视频号</w:t>
      </w:r>
    </w:p>
    <w:sectPr>
      <w:footerReference r:id="rId3" w:type="default"/>
      <w:pgSz w:w="11906" w:h="16838"/>
      <w:pgMar w:top="1531" w:right="1531" w:bottom="153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63AC3B8-C89D-4B40-B8B8-1383B0A14715}"/>
  </w:font>
  <w:font w:name="黑体">
    <w:panose1 w:val="02010609060101010101"/>
    <w:charset w:val="86"/>
    <w:family w:val="auto"/>
    <w:pitch w:val="default"/>
    <w:sig w:usb0="800002BF" w:usb1="38CF7CFA" w:usb2="00000016" w:usb3="00000000" w:csb0="00040001" w:csb1="00000000"/>
    <w:embedRegular r:id="rId2" w:fontKey="{CF2FA59A-FF76-4B1B-805C-5E9E141BAB9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49DC5288-46A9-4369-8278-09809A50DCEA}"/>
  </w:font>
  <w:font w:name="方正小标宋简体">
    <w:panose1 w:val="02010600010101010101"/>
    <w:charset w:val="86"/>
    <w:family w:val="auto"/>
    <w:pitch w:val="default"/>
    <w:sig w:usb0="00000001" w:usb1="080E0000" w:usb2="00000000" w:usb3="00000000" w:csb0="00040000" w:csb1="00000000"/>
    <w:embedRegular r:id="rId4" w:fontKey="{0608D0B7-EF73-4E52-A16F-DB7352A84189}"/>
  </w:font>
  <w:font w:name="楷体_GB2312">
    <w:panose1 w:val="02010609030101010101"/>
    <w:charset w:val="86"/>
    <w:family w:val="modern"/>
    <w:pitch w:val="default"/>
    <w:sig w:usb0="00000001" w:usb1="080E0000" w:usb2="00000000" w:usb3="00000000" w:csb0="00040000" w:csb1="00000000"/>
    <w:embedRegular r:id="rId5" w:fontKey="{50353DDB-38FE-4FFA-A61F-E6544B17AAA4}"/>
  </w:font>
  <w:font w:name="华文中宋">
    <w:panose1 w:val="02010600040101010101"/>
    <w:charset w:val="86"/>
    <w:family w:val="auto"/>
    <w:pitch w:val="default"/>
    <w:sig w:usb0="00000287" w:usb1="080F0000" w:usb2="00000000" w:usb3="00000000" w:csb0="0004009F" w:csb1="DFD70000"/>
    <w:embedRegular r:id="rId6" w:fontKey="{187A3E5B-29F5-4EFA-9942-2E6656A76C9A}"/>
  </w:font>
  <w:font w:name="方正仿宋_GBK">
    <w:altName w:val="微软雅黑"/>
    <w:panose1 w:val="03000509000000000000"/>
    <w:charset w:val="86"/>
    <w:family w:val="script"/>
    <w:pitch w:val="default"/>
    <w:sig w:usb0="00000000" w:usb1="00000000" w:usb2="00000010" w:usb3="00000000" w:csb0="00040000" w:csb1="00000000"/>
    <w:embedRegular r:id="rId7" w:fontKey="{4BA41692-27A6-4D50-A9A6-21A8B6A87818}"/>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8" w:fontKey="{83E6644F-E1A3-420F-A2AD-B86C202075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F655E">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88BD2">
                          <w:pPr>
                            <w:pStyle w:val="7"/>
                            <w:keepNext w:val="0"/>
                            <w:keepLines w:val="0"/>
                            <w:pageBreakBefore w:val="0"/>
                            <w:widowControl w:val="0"/>
                            <w:kinsoku/>
                            <w:wordWrap/>
                            <w:overflowPunct/>
                            <w:topLinePunct w:val="0"/>
                            <w:bidi w:val="0"/>
                            <w:adjustRightInd/>
                            <w:snapToGrid w:val="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C88BD2">
                    <w:pPr>
                      <w:pStyle w:val="7"/>
                      <w:keepNext w:val="0"/>
                      <w:keepLines w:val="0"/>
                      <w:pageBreakBefore w:val="0"/>
                      <w:widowControl w:val="0"/>
                      <w:kinsoku/>
                      <w:wordWrap/>
                      <w:overflowPunct/>
                      <w:topLinePunct w:val="0"/>
                      <w:bidi w:val="0"/>
                      <w:adjustRightInd/>
                      <w:snapToGrid w:val="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0D2CE0"/>
    <w:rsid w:val="016B6FCE"/>
    <w:rsid w:val="04333FF8"/>
    <w:rsid w:val="08F02CB9"/>
    <w:rsid w:val="09414FBE"/>
    <w:rsid w:val="0CAF2B57"/>
    <w:rsid w:val="0D675D97"/>
    <w:rsid w:val="0DDC300B"/>
    <w:rsid w:val="0E5972B7"/>
    <w:rsid w:val="0E5C5158"/>
    <w:rsid w:val="0ECE2B6F"/>
    <w:rsid w:val="0F436AFB"/>
    <w:rsid w:val="111D1152"/>
    <w:rsid w:val="113A4C18"/>
    <w:rsid w:val="117874EE"/>
    <w:rsid w:val="11A601EC"/>
    <w:rsid w:val="12DC7A01"/>
    <w:rsid w:val="132313F5"/>
    <w:rsid w:val="14373691"/>
    <w:rsid w:val="163D6FBE"/>
    <w:rsid w:val="164225D3"/>
    <w:rsid w:val="177B74FF"/>
    <w:rsid w:val="19393A07"/>
    <w:rsid w:val="195113E8"/>
    <w:rsid w:val="1A0D1591"/>
    <w:rsid w:val="1B996784"/>
    <w:rsid w:val="21224D81"/>
    <w:rsid w:val="29A228B1"/>
    <w:rsid w:val="2C0D2CE0"/>
    <w:rsid w:val="2D0C52CB"/>
    <w:rsid w:val="2D653879"/>
    <w:rsid w:val="2F341D83"/>
    <w:rsid w:val="2FF22ED3"/>
    <w:rsid w:val="301D32E3"/>
    <w:rsid w:val="304172C0"/>
    <w:rsid w:val="30A4035F"/>
    <w:rsid w:val="3155147F"/>
    <w:rsid w:val="32A226BE"/>
    <w:rsid w:val="3428494C"/>
    <w:rsid w:val="356D0135"/>
    <w:rsid w:val="36E10F32"/>
    <w:rsid w:val="36F92970"/>
    <w:rsid w:val="372E42C6"/>
    <w:rsid w:val="37C375F1"/>
    <w:rsid w:val="384D4DBC"/>
    <w:rsid w:val="38F60671"/>
    <w:rsid w:val="39131688"/>
    <w:rsid w:val="394D5621"/>
    <w:rsid w:val="397622BB"/>
    <w:rsid w:val="3A6665B9"/>
    <w:rsid w:val="3B3F1E81"/>
    <w:rsid w:val="3D937992"/>
    <w:rsid w:val="3F577E93"/>
    <w:rsid w:val="3FA85D7D"/>
    <w:rsid w:val="41140547"/>
    <w:rsid w:val="41945E89"/>
    <w:rsid w:val="43137914"/>
    <w:rsid w:val="434C71F8"/>
    <w:rsid w:val="455804D0"/>
    <w:rsid w:val="456E1F6D"/>
    <w:rsid w:val="47F557BA"/>
    <w:rsid w:val="4826549F"/>
    <w:rsid w:val="491C71D1"/>
    <w:rsid w:val="4926149E"/>
    <w:rsid w:val="49C51A06"/>
    <w:rsid w:val="4C0B3370"/>
    <w:rsid w:val="4EE74F20"/>
    <w:rsid w:val="4F383685"/>
    <w:rsid w:val="527C447C"/>
    <w:rsid w:val="538A1BCD"/>
    <w:rsid w:val="53A11703"/>
    <w:rsid w:val="556A4428"/>
    <w:rsid w:val="570C7DB0"/>
    <w:rsid w:val="584A7076"/>
    <w:rsid w:val="59810494"/>
    <w:rsid w:val="59E73D0F"/>
    <w:rsid w:val="5A1C71E7"/>
    <w:rsid w:val="5AF6071E"/>
    <w:rsid w:val="5BD23873"/>
    <w:rsid w:val="5C3B5DC8"/>
    <w:rsid w:val="5E5B6654"/>
    <w:rsid w:val="5F4E1F26"/>
    <w:rsid w:val="60D072C3"/>
    <w:rsid w:val="617E18F6"/>
    <w:rsid w:val="61F6176B"/>
    <w:rsid w:val="63804511"/>
    <w:rsid w:val="63A54F9A"/>
    <w:rsid w:val="63AC7B9D"/>
    <w:rsid w:val="64097915"/>
    <w:rsid w:val="64A06743"/>
    <w:rsid w:val="651B09EE"/>
    <w:rsid w:val="65E44BBF"/>
    <w:rsid w:val="67C56EC9"/>
    <w:rsid w:val="688E3B6E"/>
    <w:rsid w:val="6993750A"/>
    <w:rsid w:val="6A0B2F33"/>
    <w:rsid w:val="710F0347"/>
    <w:rsid w:val="724932A6"/>
    <w:rsid w:val="75291567"/>
    <w:rsid w:val="757D2B32"/>
    <w:rsid w:val="759F250C"/>
    <w:rsid w:val="76D211E6"/>
    <w:rsid w:val="77AE2002"/>
    <w:rsid w:val="78250C42"/>
    <w:rsid w:val="78360DC6"/>
    <w:rsid w:val="792F6708"/>
    <w:rsid w:val="7A717E58"/>
    <w:rsid w:val="7C666764"/>
    <w:rsid w:val="7CE47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4">
    <w:name w:val="heading 1"/>
    <w:basedOn w:val="1"/>
    <w:next w:val="1"/>
    <w:link w:val="15"/>
    <w:qFormat/>
    <w:uiPriority w:val="0"/>
    <w:pPr>
      <w:spacing w:before="0" w:beforeAutospacing="1" w:after="0" w:afterAutospacing="1"/>
      <w:jc w:val="center"/>
      <w:outlineLvl w:val="0"/>
    </w:pPr>
    <w:rPr>
      <w:rFonts w:hint="eastAsia" w:ascii="宋体" w:hAnsi="宋体" w:eastAsia="方正小标宋简体" w:cs="宋体"/>
      <w:bCs/>
      <w:kern w:val="44"/>
      <w:sz w:val="44"/>
      <w:szCs w:val="48"/>
      <w:lang w:bidi="ar"/>
    </w:rPr>
  </w:style>
  <w:style w:type="character" w:default="1" w:styleId="12">
    <w:name w:val="Default Paragraph Font"/>
    <w:autoRedefine/>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keepNext w:val="0"/>
      <w:keepLines w:val="0"/>
      <w:widowControl w:val="0"/>
      <w:suppressLineNumbers w:val="0"/>
      <w:spacing w:after="120" w:afterAutospacing="0"/>
      <w:ind w:left="0" w:leftChars="0" w:firstLine="880" w:firstLineChars="200"/>
      <w:jc w:val="both"/>
    </w:pPr>
    <w:rPr>
      <w:rFonts w:hint="default" w:ascii="Times New Roman" w:hAnsi="Times New Roman" w:eastAsia="宋体" w:cs="Times New Roman"/>
      <w:kern w:val="2"/>
      <w:sz w:val="21"/>
      <w:szCs w:val="21"/>
      <w:lang w:val="en-US" w:eastAsia="zh-CN" w:bidi="ar"/>
    </w:rPr>
  </w:style>
  <w:style w:type="paragraph" w:styleId="3">
    <w:name w:val="Body Text Indent"/>
    <w:basedOn w:val="1"/>
    <w:next w:val="1"/>
    <w:qFormat/>
    <w:uiPriority w:val="0"/>
    <w:pPr>
      <w:ind w:left="420" w:leftChars="200"/>
    </w:pPr>
    <w:rPr>
      <w:szCs w:val="24"/>
    </w:rPr>
  </w:style>
  <w:style w:type="paragraph" w:styleId="5">
    <w:name w:val="Body Text"/>
    <w:basedOn w:val="1"/>
    <w:qFormat/>
    <w:uiPriority w:val="0"/>
    <w:pPr>
      <w:spacing w:after="120" w:afterLines="0" w:afterAutospacing="0"/>
    </w:pPr>
  </w:style>
  <w:style w:type="paragraph" w:styleId="6">
    <w:name w:val="toc 5"/>
    <w:basedOn w:val="1"/>
    <w:next w:val="1"/>
    <w:qFormat/>
    <w:uiPriority w:val="0"/>
    <w:pPr>
      <w:ind w:left="1680" w:leftChars="8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footnote text"/>
    <w:basedOn w:val="1"/>
    <w:qFormat/>
    <w:uiPriority w:val="0"/>
    <w:pPr>
      <w:widowControl/>
      <w:snapToGrid w:val="0"/>
      <w:jc w:val="left"/>
    </w:pPr>
    <w:rPr>
      <w:rFonts w:ascii="Calibri" w:hAnsi="Calibri"/>
      <w:kern w:val="0"/>
      <w:sz w:val="24"/>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Strong"/>
    <w:basedOn w:val="12"/>
    <w:qFormat/>
    <w:uiPriority w:val="0"/>
    <w:rPr>
      <w:b/>
    </w:rPr>
  </w:style>
  <w:style w:type="character" w:styleId="14">
    <w:name w:val="Emphasis"/>
    <w:basedOn w:val="12"/>
    <w:qFormat/>
    <w:uiPriority w:val="0"/>
    <w:rPr>
      <w:i/>
    </w:rPr>
  </w:style>
  <w:style w:type="character" w:customStyle="1" w:styleId="15">
    <w:name w:val="标题 1 Char"/>
    <w:link w:val="4"/>
    <w:qFormat/>
    <w:uiPriority w:val="0"/>
    <w:rPr>
      <w:rFonts w:eastAsia="方正小标宋简体"/>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c3080513-3686-49ed-b88d-d64c1afa98a3</errorID>
      <errorWord>犯</errorWord>
      <group>L1_Grammar</group>
      <groupName>语法问题</groupName>
      <ability>L2_Collocation</ability>
      <abilityName>搭配不当</abilityName>
      <candidateList>
        <item>秩序犯</item>
      </candidateList>
      <explain>句子中可能存在主谓、动宾、定语中心语、状语中心语、补语中心语、关联词搭配不当等问题。</explain>
      <paraID>27354213</paraID>
      <start>99</start>
      <end>100</end>
      <status>ignored</status>
      <modifiedWord/>
      <trackRevisions>false</trackRevisions>
    </reviewItem>
    <reviewItem>
      <errorID>af6c2cb1-8f84-4612-b74e-242004ae8a89</errorID>
      <errorWord>其</errorWord>
      <group>L1_Grammar</group>
      <groupName>语法问题</groupName>
      <ability>L2_Confusion</ability>
      <abilityName>结构混乱</abilityName>
      <candidateList>
        <item>使其</item>
      </candidateList>
      <explain>句子中可能存在两种以上的句法结构，导致结构混乱。</explain>
      <paraID>5EF642DD</paraID>
      <start>203</start>
      <end>204</end>
      <status>ignored</status>
      <modifiedWord/>
      <trackRevisions>false</trackRevisions>
    </reviewItem>
    <reviewItem>
      <errorID>ee0917f5-5400-44e4-95be-063c9e3f47f7</errorID>
      <errorWord>宣传推介</errorWord>
      <group>L1_Grammar</group>
      <groupName>语法问题</groupName>
      <ability>L2_Order</ability>
      <abilityName>语序不当</abilityName>
      <candidateList>
        <item>推介宣传</item>
      </candidateList>
      <explain>句子可能没有遵循时空、逻辑顺序，或者介词、关联词等位置不当。</explain>
      <paraID> 4B57679</paraID>
      <start>201</start>
      <end>205</end>
      <status>ignored</status>
      <modifiedWord/>
      <trackRevisions>false</trackRevisions>
    </reviewItem>
    <reviewItem>
      <errorID>24873fd1-c86d-47fc-ab73-f53c5068f54e</errorID>
      <errorWord>全流程监督</errorWord>
      <group>L1_Political</group>
      <groupName>政治性问题</groupName>
      <ability>L2_Keyword</ability>
      <abilityName>固定表述</abilityName>
      <candidateList>
        <item>全过程监督</item>
      </candidateList>
      <explain>词汇“全过程监督”在特定场景下为固定表述形式，请确认此处的“全流程监督”是否存在不当。</explain>
      <paraID>48E63B53</paraID>
      <start>69</start>
      <end>74</end>
      <status>ignored</status>
      <modifiedWord/>
      <trackRevisions>false</trackRevisions>
    </reviewItem>
    <reviewItem>
      <errorID>cd197204-ea19-46c3-8cf2-d06e294d85b6</errorID>
      <errorWord>性</errorWord>
      <group>L1_Word</group>
      <groupName>字词问题</groupName>
      <ability>L2_Typo</ability>
      <abilityName>字词错误</abilityName>
      <candidateList>
        <item>性和</item>
      </candidateList>
      <explain/>
      <paraID>48E63B53</paraID>
      <start>222</start>
      <end>223</end>
      <status>ignored</status>
      <modifiedWord/>
      <trackRevisions>false</trackRevisions>
    </reviewItem>
    <reviewItem>
      <errorID>33207f56-e178-4f40-b0ac-498fd58c872e</errorID>
      <errorWord>刑事诉讼法</errorWord>
      <group>L1_Knowledge</group>
      <groupName>知识性问题</groupName>
      <ability>L2_Knowledge</ability>
      <abilityName>其他知识</abilityName>
      <candidateList>
        <item>中华人民共和国刑事诉讼法</item>
      </candidateList>
      <explain>当前法律法规名称使用简称，请注意是否应当使用全称。</explain>
      <paraID>1DED483B</paraID>
      <start>17</start>
      <end>29</end>
      <status>modified</status>
      <modifiedWord>中华人民共和国刑事诉讼法</modifiedWord>
      <trackRevisions>false</trackRevisions>
    </reviewItem>
    <reviewItem>
      <errorID>b826e0ec-edf5-4087-84ac-9a7a92ec82b1</errorID>
      <errorWord>行政处罚法</errorWord>
      <group>L1_Knowledge</group>
      <groupName>知识性问题</groupName>
      <ability>L2_Knowledge</ability>
      <abilityName>其他知识</abilityName>
      <candidateList>
        <item>中华人民共和国行政处罚法</item>
      </candidateList>
      <explain>当前法律法规名称使用简称，请注意是否应当使用全称。</explain>
      <paraID>1DED483B</paraID>
      <start>32</start>
      <end>44</end>
      <status>modified</status>
      <modifiedWord>中华人民共和国行政处罚法</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98c64a-b69c-4790-90e1-3ec34fca7a08}">
  <ds:schemaRefs/>
</ds:datastoreItem>
</file>

<file path=docProps/app.xml><?xml version="1.0" encoding="utf-8"?>
<Properties xmlns="http://schemas.openxmlformats.org/officeDocument/2006/extended-properties" xmlns:vt="http://schemas.openxmlformats.org/officeDocument/2006/docPropsVTypes">
  <Template>Normal.dotm</Template>
  <Pages>15</Pages>
  <Words>6304</Words>
  <Characters>6447</Characters>
  <Lines>1</Lines>
  <Paragraphs>1</Paragraphs>
  <TotalTime>4</TotalTime>
  <ScaleCrop>false</ScaleCrop>
  <LinksUpToDate>false</LinksUpToDate>
  <CharactersWithSpaces>6475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2025-12-15T02:21:00Z</dcterms:created>
  <dc:creator>曾婵</dc:creator>
  <cp:lastModifiedBy>曾婵</cp:lastModifiedBy>
  <cp:lastPrinted>2026-01-20T07:58:00Z</cp:lastPrinted>
  <dcterms:modified xsi:type="dcterms:W3CDTF">2026-02-25T03:34:00Z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171DE09680C34656BB5C62263B6BF9BA_13</vt:lpwstr>
  </property>
  <property fmtid="{D5CDD505-2E9C-101B-9397-08002B2CF9AE}" pid="4" name="KSOTemplateDocerSaveRecord">
    <vt:lpwstr>eyJoZGlkIjoiMmJjNmExMTA3N2EzOTcyZjk0Mzg5Njg5YWQwOTI3MzkiLCJ1c2VySWQiOiIyMjQ3NDgzOTgifQ==</vt:lpwstr>
  </property>
</Properties>
</file>