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80"/>
          <w:tab w:val="center" w:pos="4153"/>
          <w:tab w:val="left" w:pos="6720"/>
        </w:tabs>
        <w:jc w:val="center"/>
        <w:outlineLvl w:val="0"/>
        <w:rPr>
          <w:rFonts w:hint="eastAsia" w:ascii="宋体" w:hAnsi="宋体" w:eastAsia="宋体"/>
          <w:b/>
          <w:color w:val="auto"/>
          <w:sz w:val="32"/>
          <w:szCs w:val="32"/>
          <w:lang w:eastAsia="zh-CN"/>
        </w:rPr>
      </w:pPr>
      <w:r>
        <w:rPr>
          <w:rFonts w:hint="eastAsia" w:ascii="宋体" w:hAnsi="宋体"/>
          <w:b/>
          <w:color w:val="auto"/>
          <w:sz w:val="32"/>
          <w:szCs w:val="32"/>
        </w:rPr>
        <w:t>鼎城区人民检察院食堂餐饮管理服务项目</w:t>
      </w:r>
      <w:r>
        <w:rPr>
          <w:rFonts w:hint="eastAsia" w:ascii="宋体" w:hAnsi="宋体"/>
          <w:b/>
          <w:color w:val="auto"/>
          <w:sz w:val="32"/>
          <w:szCs w:val="32"/>
          <w:lang w:eastAsia="zh-CN"/>
        </w:rPr>
        <w:t>磋商公告</w:t>
      </w:r>
    </w:p>
    <w:p>
      <w:pPr>
        <w:tabs>
          <w:tab w:val="center" w:pos="4153"/>
          <w:tab w:val="left" w:pos="6720"/>
        </w:tabs>
        <w:spacing w:line="240" w:lineRule="exact"/>
        <w:jc w:val="left"/>
        <w:rPr>
          <w:rFonts w:ascii="宋体" w:hAnsi="宋体"/>
          <w:b/>
          <w:color w:val="auto"/>
          <w:sz w:val="32"/>
          <w:szCs w:val="32"/>
        </w:rPr>
      </w:pPr>
      <w:r>
        <w:rPr>
          <w:rFonts w:hint="eastAsia" w:ascii="宋体" w:hAnsi="宋体"/>
          <w:b/>
          <w:color w:val="auto"/>
          <w:sz w:val="32"/>
          <w:szCs w:val="32"/>
        </w:rPr>
        <w:tab/>
      </w:r>
    </w:p>
    <w:p>
      <w:pPr>
        <w:adjustRightInd w:val="0"/>
        <w:snapToGrid w:val="0"/>
        <w:spacing w:line="460" w:lineRule="exact"/>
        <w:ind w:firstLine="480" w:firstLineChars="200"/>
        <w:rPr>
          <w:rFonts w:ascii="宋体" w:hAnsi="宋体"/>
          <w:color w:val="auto"/>
          <w:sz w:val="24"/>
        </w:rPr>
      </w:pPr>
      <w:r>
        <w:rPr>
          <w:rFonts w:hint="eastAsia" w:ascii="宋体" w:hAnsi="宋体"/>
          <w:color w:val="auto"/>
          <w:sz w:val="24"/>
          <w:shd w:val="clear" w:color="auto" w:fill="FFFFFF"/>
        </w:rPr>
        <w:t>受</w:t>
      </w:r>
      <w:r>
        <w:rPr>
          <w:rFonts w:hint="eastAsia" w:ascii="宋体" w:hAnsi="宋体"/>
          <w:color w:val="auto"/>
          <w:sz w:val="24"/>
          <w:u w:val="single"/>
          <w:shd w:val="clear" w:color="auto" w:fill="FFFFFF"/>
          <w:lang w:val="en-US" w:eastAsia="zh-CN"/>
        </w:rPr>
        <w:t xml:space="preserve"> </w:t>
      </w:r>
      <w:r>
        <w:rPr>
          <w:rFonts w:hint="eastAsia" w:ascii="宋体" w:hAnsi="宋体"/>
          <w:color w:val="auto"/>
          <w:sz w:val="24"/>
          <w:u w:val="single"/>
          <w:lang w:eastAsia="zh-CN"/>
        </w:rPr>
        <w:t>常德市鼎城区人民检察院</w:t>
      </w:r>
      <w:r>
        <w:rPr>
          <w:rFonts w:hint="eastAsia" w:ascii="宋体" w:hAnsi="宋体"/>
          <w:color w:val="auto"/>
          <w:sz w:val="24"/>
          <w:u w:val="single"/>
          <w:lang w:val="en-US" w:eastAsia="zh-CN"/>
        </w:rPr>
        <w:t xml:space="preserve"> </w:t>
      </w:r>
      <w:r>
        <w:rPr>
          <w:rFonts w:hint="eastAsia" w:ascii="宋体" w:hAnsi="宋体"/>
          <w:color w:val="auto"/>
          <w:sz w:val="24"/>
          <w:shd w:val="clear" w:color="auto" w:fill="FFFFFF"/>
        </w:rPr>
        <w:t>的委托，本代理机构对其所需的</w:t>
      </w:r>
      <w:r>
        <w:rPr>
          <w:rFonts w:hint="eastAsia" w:ascii="宋体" w:hAnsi="宋体"/>
          <w:color w:val="auto"/>
          <w:sz w:val="24"/>
          <w:u w:val="single"/>
          <w:shd w:val="clear" w:color="auto" w:fill="FFFFFF"/>
        </w:rPr>
        <w:t xml:space="preserve"> </w:t>
      </w:r>
      <w:r>
        <w:rPr>
          <w:rFonts w:hint="eastAsia" w:ascii="宋体" w:hAnsi="宋体"/>
          <w:color w:val="auto"/>
          <w:sz w:val="24"/>
          <w:u w:val="single"/>
          <w:shd w:val="clear" w:color="auto" w:fill="FFFFFF"/>
          <w:lang w:eastAsia="zh-CN"/>
        </w:rPr>
        <w:t>鼎城区人民检察院食堂餐饮管理服务项目</w:t>
      </w:r>
      <w:r>
        <w:rPr>
          <w:rFonts w:hint="eastAsia" w:ascii="宋体" w:hAnsi="宋体"/>
          <w:color w:val="auto"/>
          <w:sz w:val="24"/>
          <w:u w:val="single"/>
          <w:shd w:val="clear" w:color="auto" w:fill="FFFFFF"/>
        </w:rPr>
        <w:t xml:space="preserve"> </w:t>
      </w:r>
      <w:r>
        <w:rPr>
          <w:rFonts w:hint="eastAsia" w:ascii="宋体" w:hAnsi="宋体"/>
          <w:color w:val="auto"/>
          <w:sz w:val="24"/>
          <w:shd w:val="clear" w:color="auto" w:fill="FFFFFF"/>
        </w:rPr>
        <w:t>进行</w:t>
      </w:r>
      <w:r>
        <w:rPr>
          <w:rFonts w:hint="eastAsia" w:ascii="宋体" w:hAnsi="宋体"/>
          <w:color w:val="auto"/>
          <w:sz w:val="24"/>
        </w:rPr>
        <w:t>竞争性磋商采购</w:t>
      </w:r>
      <w:r>
        <w:rPr>
          <w:rFonts w:hint="eastAsia" w:ascii="宋体" w:hAnsi="宋体"/>
          <w:color w:val="auto"/>
          <w:sz w:val="24"/>
          <w:shd w:val="clear" w:color="auto" w:fill="FFFFFF"/>
        </w:rPr>
        <w:t>，</w:t>
      </w:r>
      <w:r>
        <w:rPr>
          <w:rFonts w:hint="eastAsia" w:ascii="宋体" w:hAnsi="宋体"/>
          <w:color w:val="auto"/>
          <w:sz w:val="24"/>
        </w:rPr>
        <w:t>现采用发布公告方式，邀请符合资格条件的供应商参与竞争性磋商采购活动。</w:t>
      </w:r>
    </w:p>
    <w:p>
      <w:pPr>
        <w:widowControl/>
        <w:shd w:val="clear" w:color="auto" w:fill="FFFFFF"/>
        <w:adjustRightInd w:val="0"/>
        <w:snapToGrid w:val="0"/>
        <w:spacing w:line="460" w:lineRule="exact"/>
        <w:jc w:val="left"/>
        <w:rPr>
          <w:rFonts w:ascii="宋体" w:hAnsi="宋体" w:cs="宋体"/>
          <w:color w:val="auto"/>
          <w:kern w:val="0"/>
          <w:sz w:val="24"/>
        </w:rPr>
      </w:pPr>
      <w:r>
        <w:rPr>
          <w:rFonts w:hint="eastAsia" w:ascii="宋体" w:hAnsi="宋体" w:cs="宋体"/>
          <w:b/>
          <w:bCs/>
          <w:color w:val="auto"/>
          <w:kern w:val="0"/>
          <w:sz w:val="24"/>
        </w:rPr>
        <w:t>一、项目概况：</w:t>
      </w:r>
    </w:p>
    <w:p>
      <w:pPr>
        <w:widowControl/>
        <w:shd w:val="clear" w:color="auto" w:fill="FFFFFF"/>
        <w:adjustRightInd w:val="0"/>
        <w:snapToGrid w:val="0"/>
        <w:spacing w:line="460" w:lineRule="exact"/>
        <w:jc w:val="left"/>
        <w:rPr>
          <w:rFonts w:hint="eastAsia" w:ascii="宋体" w:hAnsi="宋体" w:eastAsia="宋体" w:cs="宋体"/>
          <w:color w:val="auto"/>
          <w:kern w:val="0"/>
          <w:sz w:val="24"/>
          <w:lang w:eastAsia="zh-CN"/>
        </w:rPr>
      </w:pPr>
      <w:r>
        <w:rPr>
          <w:rFonts w:hint="eastAsia" w:ascii="宋体" w:hAnsi="宋体" w:cs="宋体"/>
          <w:color w:val="auto"/>
          <w:kern w:val="0"/>
          <w:sz w:val="24"/>
        </w:rPr>
        <w:t>1、采购项目名称：</w:t>
      </w:r>
      <w:r>
        <w:rPr>
          <w:rFonts w:hint="eastAsia" w:ascii="宋体" w:hAnsi="宋体" w:cs="宋体"/>
          <w:color w:val="auto"/>
          <w:kern w:val="0"/>
          <w:sz w:val="24"/>
          <w:lang w:eastAsia="zh-CN"/>
        </w:rPr>
        <w:t>鼎城区人民检察院食堂餐饮管理服务项目</w:t>
      </w:r>
    </w:p>
    <w:p>
      <w:pPr>
        <w:widowControl/>
        <w:shd w:val="clear" w:color="auto" w:fill="FFFFFF"/>
        <w:adjustRightInd w:val="0"/>
        <w:snapToGrid w:val="0"/>
        <w:spacing w:line="460" w:lineRule="exact"/>
        <w:jc w:val="left"/>
        <w:rPr>
          <w:rFonts w:hint="eastAsia" w:ascii="宋体" w:hAnsi="宋体" w:eastAsia="宋体" w:cs="宋体"/>
          <w:color w:val="auto"/>
          <w:kern w:val="0"/>
          <w:sz w:val="24"/>
          <w:lang w:eastAsia="zh-CN"/>
        </w:rPr>
      </w:pPr>
      <w:r>
        <w:rPr>
          <w:rFonts w:hint="eastAsia" w:ascii="宋体" w:hAnsi="宋体" w:cs="宋体"/>
          <w:color w:val="auto"/>
          <w:kern w:val="0"/>
          <w:sz w:val="24"/>
        </w:rPr>
        <w:t>2、</w:t>
      </w:r>
      <w:r>
        <w:rPr>
          <w:rFonts w:hint="eastAsia" w:ascii="宋体" w:hAnsi="宋体" w:cs="宋体"/>
          <w:color w:val="auto"/>
          <w:kern w:val="0"/>
          <w:sz w:val="24"/>
          <w:lang w:eastAsia="zh-CN"/>
        </w:rPr>
        <w:t>采购计划编号</w:t>
      </w:r>
      <w:r>
        <w:rPr>
          <w:rFonts w:hint="eastAsia" w:ascii="宋体" w:hAnsi="宋体" w:cs="宋体"/>
          <w:color w:val="auto"/>
          <w:kern w:val="0"/>
          <w:sz w:val="24"/>
        </w:rPr>
        <w:t>：</w:t>
      </w:r>
      <w:r>
        <w:rPr>
          <w:rFonts w:hint="eastAsia" w:ascii="宋体" w:hAnsi="宋体" w:cs="宋体"/>
          <w:color w:val="auto"/>
          <w:kern w:val="0"/>
          <w:sz w:val="24"/>
          <w:lang w:eastAsia="zh-CN"/>
        </w:rPr>
        <w:t>CDZYZB2024-C-12</w:t>
      </w:r>
    </w:p>
    <w:p>
      <w:pPr>
        <w:widowControl/>
        <w:shd w:val="clear" w:color="auto" w:fill="FFFFFF"/>
        <w:adjustRightInd w:val="0"/>
        <w:snapToGrid w:val="0"/>
        <w:spacing w:line="460" w:lineRule="exact"/>
        <w:jc w:val="left"/>
        <w:rPr>
          <w:rFonts w:hint="eastAsia" w:ascii="宋体" w:hAnsi="宋体" w:eastAsia="宋体" w:cs="宋体"/>
          <w:color w:val="auto"/>
          <w:kern w:val="0"/>
          <w:sz w:val="24"/>
          <w:lang w:eastAsia="zh-CN"/>
        </w:rPr>
      </w:pPr>
      <w:r>
        <w:rPr>
          <w:rFonts w:hint="eastAsia" w:ascii="宋体" w:hAnsi="宋体" w:cs="宋体"/>
          <w:color w:val="auto"/>
          <w:kern w:val="0"/>
          <w:sz w:val="24"/>
        </w:rPr>
        <w:t>3、采购项目用途、技术要求、名称及预算</w:t>
      </w:r>
      <w:r>
        <w:rPr>
          <w:rFonts w:hint="eastAsia" w:ascii="宋体" w:hAnsi="宋体" w:cs="宋体"/>
          <w:color w:val="auto"/>
          <w:kern w:val="0"/>
          <w:sz w:val="24"/>
          <w:lang w:eastAsia="zh-CN"/>
        </w:rPr>
        <w:t>：</w:t>
      </w:r>
    </w:p>
    <w:tbl>
      <w:tblPr>
        <w:tblStyle w:val="3"/>
        <w:tblW w:w="4893" w:type="pct"/>
        <w:tblInd w:w="77" w:type="dxa"/>
        <w:shd w:val="clear" w:color="auto" w:fill="FFFFFF"/>
        <w:tblLayout w:type="autofit"/>
        <w:tblCellMar>
          <w:top w:w="15" w:type="dxa"/>
          <w:left w:w="15" w:type="dxa"/>
          <w:bottom w:w="15" w:type="dxa"/>
          <w:right w:w="15" w:type="dxa"/>
        </w:tblCellMar>
      </w:tblPr>
      <w:tblGrid>
        <w:gridCol w:w="2476"/>
        <w:gridCol w:w="3304"/>
        <w:gridCol w:w="845"/>
        <w:gridCol w:w="1738"/>
      </w:tblGrid>
      <w:tr>
        <w:tblPrEx>
          <w:tblCellMar>
            <w:top w:w="15" w:type="dxa"/>
            <w:left w:w="15" w:type="dxa"/>
            <w:bottom w:w="15" w:type="dxa"/>
            <w:right w:w="15" w:type="dxa"/>
          </w:tblCellMar>
        </w:tblPrEx>
        <w:tc>
          <w:tcPr>
            <w:tcW w:w="1480" w:type="pc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pPr>
              <w:widowControl/>
              <w:adjustRightInd w:val="0"/>
              <w:snapToGrid w:val="0"/>
              <w:spacing w:line="460" w:lineRule="exact"/>
              <w:jc w:val="center"/>
              <w:rPr>
                <w:rFonts w:ascii="宋体" w:hAnsi="宋体" w:cs="宋体"/>
                <w:b/>
                <w:color w:val="auto"/>
                <w:sz w:val="24"/>
              </w:rPr>
            </w:pPr>
            <w:r>
              <w:rPr>
                <w:rFonts w:hint="eastAsia" w:ascii="宋体" w:hAnsi="宋体" w:cs="宋体"/>
                <w:b/>
                <w:color w:val="auto"/>
                <w:kern w:val="0"/>
                <w:sz w:val="24"/>
              </w:rPr>
              <w:t>包名</w:t>
            </w:r>
          </w:p>
        </w:tc>
        <w:tc>
          <w:tcPr>
            <w:tcW w:w="1975" w:type="pc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pPr>
              <w:widowControl/>
              <w:adjustRightInd w:val="0"/>
              <w:snapToGrid w:val="0"/>
              <w:spacing w:line="460" w:lineRule="exact"/>
              <w:jc w:val="center"/>
              <w:rPr>
                <w:rFonts w:ascii="宋体" w:hAnsi="宋体" w:cs="宋体"/>
                <w:b/>
                <w:color w:val="auto"/>
                <w:sz w:val="24"/>
              </w:rPr>
            </w:pPr>
            <w:r>
              <w:rPr>
                <w:rFonts w:hint="eastAsia" w:ascii="宋体" w:hAnsi="宋体" w:cs="宋体"/>
                <w:b/>
                <w:color w:val="auto"/>
                <w:kern w:val="0"/>
                <w:sz w:val="24"/>
              </w:rPr>
              <w:t>品目名称</w:t>
            </w:r>
          </w:p>
        </w:tc>
        <w:tc>
          <w:tcPr>
            <w:tcW w:w="505" w:type="pc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pPr>
              <w:widowControl/>
              <w:adjustRightInd w:val="0"/>
              <w:snapToGrid w:val="0"/>
              <w:spacing w:line="460" w:lineRule="exact"/>
              <w:jc w:val="center"/>
              <w:rPr>
                <w:rFonts w:ascii="宋体" w:hAnsi="宋体" w:cs="宋体"/>
                <w:b/>
                <w:color w:val="auto"/>
                <w:sz w:val="24"/>
              </w:rPr>
            </w:pPr>
            <w:r>
              <w:rPr>
                <w:rFonts w:hint="eastAsia" w:ascii="宋体" w:hAnsi="宋体" w:cs="宋体"/>
                <w:b/>
                <w:color w:val="auto"/>
                <w:kern w:val="0"/>
                <w:sz w:val="24"/>
              </w:rPr>
              <w:t>单位</w:t>
            </w:r>
          </w:p>
        </w:tc>
        <w:tc>
          <w:tcPr>
            <w:tcW w:w="1039" w:type="pct"/>
            <w:tcBorders>
              <w:top w:val="single" w:color="666666" w:sz="6" w:space="0"/>
              <w:left w:val="single" w:color="666666" w:sz="6" w:space="0"/>
              <w:bottom w:val="single" w:color="666666" w:sz="6" w:space="0"/>
              <w:right w:val="single" w:color="666666" w:sz="6" w:space="0"/>
            </w:tcBorders>
            <w:shd w:val="clear" w:color="auto" w:fill="DEDEDE"/>
            <w:tcMar>
              <w:top w:w="120" w:type="dxa"/>
              <w:left w:w="120" w:type="dxa"/>
              <w:bottom w:w="120" w:type="dxa"/>
              <w:right w:w="120" w:type="dxa"/>
            </w:tcMar>
            <w:vAlign w:val="center"/>
          </w:tcPr>
          <w:p>
            <w:pPr>
              <w:widowControl/>
              <w:adjustRightInd w:val="0"/>
              <w:snapToGrid w:val="0"/>
              <w:spacing w:line="460" w:lineRule="exact"/>
              <w:jc w:val="center"/>
              <w:rPr>
                <w:rFonts w:ascii="宋体" w:hAnsi="宋体" w:cs="宋体"/>
                <w:b/>
                <w:color w:val="auto"/>
                <w:sz w:val="24"/>
              </w:rPr>
            </w:pPr>
            <w:r>
              <w:rPr>
                <w:rFonts w:hint="eastAsia" w:ascii="宋体" w:hAnsi="宋体" w:cs="宋体"/>
                <w:b/>
                <w:color w:val="auto"/>
                <w:kern w:val="0"/>
                <w:sz w:val="24"/>
              </w:rPr>
              <w:t>预算金额</w:t>
            </w:r>
          </w:p>
        </w:tc>
      </w:tr>
      <w:tr>
        <w:tblPrEx>
          <w:shd w:val="clear" w:color="auto" w:fill="FFFFFF"/>
          <w:tblCellMar>
            <w:top w:w="15" w:type="dxa"/>
            <w:left w:w="15" w:type="dxa"/>
            <w:bottom w:w="15" w:type="dxa"/>
            <w:right w:w="15" w:type="dxa"/>
          </w:tblCellMar>
        </w:tblPrEx>
        <w:tc>
          <w:tcPr>
            <w:tcW w:w="2632"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餐饮管理服务</w:t>
            </w:r>
          </w:p>
        </w:tc>
        <w:tc>
          <w:tcPr>
            <w:tcW w:w="3512"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C22040000-餐饮服务</w:t>
            </w:r>
          </w:p>
        </w:tc>
        <w:tc>
          <w:tcPr>
            <w:tcW w:w="505" w:type="pc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adjustRightInd w:val="0"/>
              <w:snapToGrid w:val="0"/>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年</w:t>
            </w:r>
          </w:p>
        </w:tc>
        <w:tc>
          <w:tcPr>
            <w:tcW w:w="1039" w:type="pc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368000元</w:t>
            </w:r>
          </w:p>
        </w:tc>
      </w:tr>
    </w:tbl>
    <w:p>
      <w:pPr>
        <w:widowControl/>
        <w:shd w:val="clear" w:color="auto" w:fill="FFFFFF"/>
        <w:adjustRightInd w:val="0"/>
        <w:snapToGrid w:val="0"/>
        <w:spacing w:line="460" w:lineRule="exact"/>
        <w:ind w:firstLine="240" w:firstLineChars="100"/>
        <w:jc w:val="left"/>
        <w:rPr>
          <w:rFonts w:ascii="宋体" w:hAnsi="宋体" w:cs="宋体"/>
          <w:color w:val="auto"/>
          <w:kern w:val="0"/>
          <w:sz w:val="24"/>
        </w:rPr>
      </w:pPr>
      <w:r>
        <w:rPr>
          <w:rFonts w:hint="eastAsia" w:ascii="宋体" w:hAnsi="宋体" w:cs="宋体"/>
          <w:color w:val="auto"/>
          <w:kern w:val="0"/>
          <w:sz w:val="24"/>
        </w:rPr>
        <w:t>采购项目的主要需求及磋商可能实质性变动内容:</w:t>
      </w:r>
    </w:p>
    <w:tbl>
      <w:tblPr>
        <w:tblStyle w:val="3"/>
        <w:tblW w:w="4998" w:type="pct"/>
        <w:tblInd w:w="0" w:type="dxa"/>
        <w:tblBorders>
          <w:top w:val="single" w:color="7E7E7E" w:sz="6" w:space="0"/>
          <w:left w:val="single" w:color="7E7E7E" w:sz="6" w:space="0"/>
          <w:bottom w:val="single" w:color="7E7E7E" w:sz="6" w:space="0"/>
          <w:right w:val="single" w:color="7E7E7E" w:sz="6" w:space="0"/>
          <w:insideH w:val="single" w:color="7E7E7E" w:sz="6" w:space="0"/>
          <w:insideV w:val="single" w:color="7E7E7E" w:sz="6" w:space="0"/>
        </w:tblBorders>
        <w:tblLayout w:type="autofit"/>
        <w:tblCellMar>
          <w:top w:w="15" w:type="dxa"/>
          <w:left w:w="15" w:type="dxa"/>
          <w:bottom w:w="15" w:type="dxa"/>
          <w:right w:w="15" w:type="dxa"/>
        </w:tblCellMar>
      </w:tblPr>
      <w:tblGrid>
        <w:gridCol w:w="1199"/>
        <w:gridCol w:w="3852"/>
        <w:gridCol w:w="1113"/>
        <w:gridCol w:w="272"/>
        <w:gridCol w:w="840"/>
        <w:gridCol w:w="133"/>
        <w:gridCol w:w="984"/>
      </w:tblGrid>
      <w:tr>
        <w:tblPrEx>
          <w:tblBorders>
            <w:top w:val="single" w:color="7E7E7E" w:sz="6" w:space="0"/>
            <w:left w:val="single" w:color="7E7E7E" w:sz="6" w:space="0"/>
            <w:bottom w:val="single" w:color="7E7E7E" w:sz="6" w:space="0"/>
            <w:right w:val="single" w:color="7E7E7E" w:sz="6" w:space="0"/>
            <w:insideH w:val="single" w:color="7E7E7E" w:sz="6" w:space="0"/>
            <w:insideV w:val="single" w:color="7E7E7E" w:sz="6" w:space="0"/>
          </w:tblBorders>
          <w:tblCellMar>
            <w:top w:w="15" w:type="dxa"/>
            <w:left w:w="15" w:type="dxa"/>
            <w:bottom w:w="15" w:type="dxa"/>
            <w:right w:w="15" w:type="dxa"/>
          </w:tblCellMar>
        </w:tblPrEx>
        <w:trPr>
          <w:trHeight w:val="213" w:hRule="atLeast"/>
        </w:trPr>
        <w:tc>
          <w:tcPr>
            <w:tcW w:w="715" w:type="pct"/>
            <w:vMerge w:val="restart"/>
            <w:shd w:val="clear" w:color="auto" w:fill="E3E3E3"/>
            <w:tcMar>
              <w:top w:w="45" w:type="dxa"/>
              <w:left w:w="45" w:type="dxa"/>
              <w:bottom w:w="45" w:type="dxa"/>
              <w:right w:w="45" w:type="dxa"/>
            </w:tcMar>
            <w:vAlign w:val="center"/>
          </w:tcPr>
          <w:p>
            <w:pPr>
              <w:widowControl/>
              <w:adjustRightInd w:val="0"/>
              <w:snapToGrid w:val="0"/>
              <w:spacing w:line="460" w:lineRule="exact"/>
              <w:jc w:val="center"/>
              <w:rPr>
                <w:rFonts w:ascii="宋体" w:hAnsi="宋体" w:cs="宋体"/>
                <w:b/>
                <w:bCs/>
                <w:color w:val="auto"/>
                <w:kern w:val="0"/>
                <w:sz w:val="24"/>
              </w:rPr>
            </w:pPr>
            <w:r>
              <w:rPr>
                <w:rFonts w:ascii="宋体" w:hAnsi="宋体" w:cs="宋体"/>
                <w:b/>
                <w:bCs/>
                <w:color w:val="auto"/>
                <w:kern w:val="0"/>
                <w:sz w:val="24"/>
              </w:rPr>
              <w:t>包/品目号</w:t>
            </w:r>
          </w:p>
        </w:tc>
        <w:tc>
          <w:tcPr>
            <w:tcW w:w="2294" w:type="pct"/>
            <w:vMerge w:val="restart"/>
            <w:shd w:val="clear" w:color="auto" w:fill="E3E3E3"/>
            <w:tcMar>
              <w:top w:w="45" w:type="dxa"/>
              <w:left w:w="45" w:type="dxa"/>
              <w:bottom w:w="45" w:type="dxa"/>
              <w:right w:w="45" w:type="dxa"/>
            </w:tcMar>
            <w:vAlign w:val="center"/>
          </w:tcPr>
          <w:p>
            <w:pPr>
              <w:widowControl/>
              <w:adjustRightInd w:val="0"/>
              <w:snapToGrid w:val="0"/>
              <w:spacing w:line="460" w:lineRule="exact"/>
              <w:jc w:val="center"/>
              <w:rPr>
                <w:rFonts w:ascii="宋体" w:hAnsi="宋体" w:cs="宋体"/>
                <w:b/>
                <w:bCs/>
                <w:color w:val="auto"/>
                <w:kern w:val="0"/>
                <w:sz w:val="24"/>
              </w:rPr>
            </w:pPr>
            <w:r>
              <w:rPr>
                <w:rFonts w:ascii="宋体" w:hAnsi="宋体" w:cs="宋体"/>
                <w:b/>
                <w:bCs/>
                <w:color w:val="auto"/>
                <w:kern w:val="0"/>
                <w:sz w:val="24"/>
              </w:rPr>
              <w:t>标的物名称</w:t>
            </w:r>
          </w:p>
        </w:tc>
        <w:tc>
          <w:tcPr>
            <w:tcW w:w="1990" w:type="pct"/>
            <w:gridSpan w:val="5"/>
            <w:shd w:val="clear" w:color="auto" w:fill="E3E3E3"/>
            <w:tcMar>
              <w:top w:w="45" w:type="dxa"/>
              <w:left w:w="45" w:type="dxa"/>
              <w:bottom w:w="45" w:type="dxa"/>
              <w:right w:w="45" w:type="dxa"/>
            </w:tcMar>
            <w:vAlign w:val="center"/>
          </w:tcPr>
          <w:p>
            <w:pPr>
              <w:widowControl/>
              <w:adjustRightInd w:val="0"/>
              <w:snapToGrid w:val="0"/>
              <w:spacing w:line="460" w:lineRule="exact"/>
              <w:jc w:val="center"/>
              <w:rPr>
                <w:rFonts w:ascii="宋体" w:hAnsi="宋体" w:cs="宋体"/>
                <w:b/>
                <w:bCs/>
                <w:color w:val="auto"/>
                <w:kern w:val="0"/>
                <w:sz w:val="24"/>
              </w:rPr>
            </w:pPr>
            <w:r>
              <w:rPr>
                <w:rFonts w:ascii="宋体" w:hAnsi="宋体" w:cs="宋体"/>
                <w:b/>
                <w:bCs/>
                <w:color w:val="auto"/>
                <w:kern w:val="0"/>
                <w:sz w:val="24"/>
              </w:rPr>
              <w:t>标的主要需求</w:t>
            </w:r>
          </w:p>
        </w:tc>
      </w:tr>
      <w:tr>
        <w:tblPrEx>
          <w:tblBorders>
            <w:top w:val="single" w:color="7E7E7E" w:sz="6" w:space="0"/>
            <w:left w:val="single" w:color="7E7E7E" w:sz="6" w:space="0"/>
            <w:bottom w:val="single" w:color="7E7E7E" w:sz="6" w:space="0"/>
            <w:right w:val="single" w:color="7E7E7E" w:sz="6" w:space="0"/>
            <w:insideH w:val="single" w:color="7E7E7E" w:sz="6" w:space="0"/>
            <w:insideV w:val="single" w:color="7E7E7E" w:sz="6" w:space="0"/>
          </w:tblBorders>
          <w:tblCellMar>
            <w:top w:w="15" w:type="dxa"/>
            <w:left w:w="15" w:type="dxa"/>
            <w:bottom w:w="15" w:type="dxa"/>
            <w:right w:w="15" w:type="dxa"/>
          </w:tblCellMar>
        </w:tblPrEx>
        <w:trPr>
          <w:trHeight w:val="228" w:hRule="atLeast"/>
        </w:trPr>
        <w:tc>
          <w:tcPr>
            <w:tcW w:w="715" w:type="pct"/>
            <w:vMerge w:val="continue"/>
            <w:shd w:val="clear" w:color="auto" w:fill="E3E3E3"/>
            <w:vAlign w:val="center"/>
          </w:tcPr>
          <w:p>
            <w:pPr>
              <w:widowControl/>
              <w:adjustRightInd w:val="0"/>
              <w:snapToGrid w:val="0"/>
              <w:spacing w:line="460" w:lineRule="exact"/>
              <w:jc w:val="left"/>
              <w:rPr>
                <w:rFonts w:ascii="宋体" w:hAnsi="宋体" w:cs="宋体"/>
                <w:b/>
                <w:bCs/>
                <w:color w:val="auto"/>
                <w:kern w:val="0"/>
                <w:sz w:val="24"/>
              </w:rPr>
            </w:pPr>
          </w:p>
        </w:tc>
        <w:tc>
          <w:tcPr>
            <w:tcW w:w="2294" w:type="pct"/>
            <w:vMerge w:val="continue"/>
            <w:shd w:val="clear" w:color="auto" w:fill="E3E3E3"/>
            <w:vAlign w:val="center"/>
          </w:tcPr>
          <w:p>
            <w:pPr>
              <w:widowControl/>
              <w:adjustRightInd w:val="0"/>
              <w:snapToGrid w:val="0"/>
              <w:spacing w:line="460" w:lineRule="exact"/>
              <w:jc w:val="left"/>
              <w:rPr>
                <w:rFonts w:ascii="宋体" w:hAnsi="宋体" w:cs="宋体"/>
                <w:b/>
                <w:bCs/>
                <w:color w:val="auto"/>
                <w:kern w:val="0"/>
                <w:sz w:val="24"/>
              </w:rPr>
            </w:pPr>
          </w:p>
        </w:tc>
        <w:tc>
          <w:tcPr>
            <w:tcW w:w="663" w:type="pct"/>
            <w:shd w:val="clear" w:color="auto" w:fill="E3E3E3"/>
            <w:tcMar>
              <w:top w:w="45" w:type="dxa"/>
              <w:left w:w="45" w:type="dxa"/>
              <w:bottom w:w="45" w:type="dxa"/>
              <w:right w:w="45" w:type="dxa"/>
            </w:tcMar>
            <w:vAlign w:val="center"/>
          </w:tcPr>
          <w:p>
            <w:pPr>
              <w:widowControl/>
              <w:adjustRightInd w:val="0"/>
              <w:snapToGrid w:val="0"/>
              <w:spacing w:line="460" w:lineRule="exact"/>
              <w:jc w:val="left"/>
              <w:rPr>
                <w:rFonts w:ascii="宋体" w:hAnsi="宋体" w:cs="宋体"/>
                <w:b/>
                <w:bCs/>
                <w:color w:val="auto"/>
                <w:kern w:val="0"/>
                <w:sz w:val="24"/>
              </w:rPr>
            </w:pPr>
            <w:r>
              <w:rPr>
                <w:rFonts w:hint="eastAsia" w:ascii="宋体" w:hAnsi="宋体" w:cs="宋体"/>
                <w:b/>
                <w:bCs/>
                <w:color w:val="auto"/>
                <w:kern w:val="0"/>
                <w:sz w:val="24"/>
              </w:rPr>
              <w:t xml:space="preserve">  </w:t>
            </w:r>
            <w:r>
              <w:rPr>
                <w:rFonts w:ascii="宋体" w:hAnsi="宋体" w:cs="宋体"/>
                <w:b/>
                <w:bCs/>
                <w:color w:val="auto"/>
                <w:kern w:val="0"/>
                <w:sz w:val="24"/>
              </w:rPr>
              <w:t>技术</w:t>
            </w:r>
          </w:p>
        </w:tc>
        <w:tc>
          <w:tcPr>
            <w:tcW w:w="662" w:type="pct"/>
            <w:gridSpan w:val="2"/>
            <w:shd w:val="clear" w:color="auto" w:fill="E3E3E3"/>
            <w:tcMar>
              <w:top w:w="45" w:type="dxa"/>
              <w:left w:w="45" w:type="dxa"/>
              <w:bottom w:w="45" w:type="dxa"/>
              <w:right w:w="45" w:type="dxa"/>
            </w:tcMar>
            <w:vAlign w:val="center"/>
          </w:tcPr>
          <w:p>
            <w:pPr>
              <w:widowControl/>
              <w:adjustRightInd w:val="0"/>
              <w:snapToGrid w:val="0"/>
              <w:spacing w:line="460" w:lineRule="exact"/>
              <w:jc w:val="left"/>
              <w:rPr>
                <w:rFonts w:ascii="宋体" w:hAnsi="宋体" w:cs="宋体"/>
                <w:b/>
                <w:bCs/>
                <w:color w:val="auto"/>
                <w:kern w:val="0"/>
                <w:sz w:val="24"/>
              </w:rPr>
            </w:pPr>
            <w:r>
              <w:rPr>
                <w:rFonts w:hint="eastAsia" w:ascii="宋体" w:hAnsi="宋体" w:cs="宋体"/>
                <w:b/>
                <w:bCs/>
                <w:color w:val="auto"/>
                <w:kern w:val="0"/>
                <w:sz w:val="24"/>
              </w:rPr>
              <w:t xml:space="preserve">  </w:t>
            </w:r>
            <w:r>
              <w:rPr>
                <w:rFonts w:ascii="宋体" w:hAnsi="宋体" w:cs="宋体"/>
                <w:b/>
                <w:bCs/>
                <w:color w:val="auto"/>
                <w:kern w:val="0"/>
                <w:sz w:val="24"/>
              </w:rPr>
              <w:t>服务</w:t>
            </w:r>
          </w:p>
        </w:tc>
        <w:tc>
          <w:tcPr>
            <w:tcW w:w="663" w:type="pct"/>
            <w:gridSpan w:val="2"/>
            <w:shd w:val="clear" w:color="auto" w:fill="E3E3E3"/>
            <w:tcMar>
              <w:top w:w="45" w:type="dxa"/>
              <w:left w:w="45" w:type="dxa"/>
              <w:bottom w:w="45" w:type="dxa"/>
              <w:right w:w="45" w:type="dxa"/>
            </w:tcMar>
            <w:vAlign w:val="center"/>
          </w:tcPr>
          <w:p>
            <w:pPr>
              <w:widowControl/>
              <w:adjustRightInd w:val="0"/>
              <w:snapToGrid w:val="0"/>
              <w:spacing w:line="460" w:lineRule="exact"/>
              <w:jc w:val="left"/>
              <w:rPr>
                <w:rFonts w:ascii="宋体" w:hAnsi="宋体" w:cs="宋体"/>
                <w:b/>
                <w:bCs/>
                <w:color w:val="auto"/>
                <w:kern w:val="0"/>
                <w:sz w:val="24"/>
              </w:rPr>
            </w:pPr>
            <w:r>
              <w:rPr>
                <w:rFonts w:ascii="宋体" w:hAnsi="宋体" w:cs="宋体"/>
                <w:b/>
                <w:bCs/>
                <w:color w:val="auto"/>
                <w:kern w:val="0"/>
                <w:sz w:val="24"/>
              </w:rPr>
              <w:t>合同条款</w:t>
            </w:r>
          </w:p>
        </w:tc>
      </w:tr>
      <w:tr>
        <w:tblPrEx>
          <w:tblBorders>
            <w:top w:val="single" w:color="7E7E7E" w:sz="6" w:space="0"/>
            <w:left w:val="single" w:color="7E7E7E" w:sz="6" w:space="0"/>
            <w:bottom w:val="single" w:color="7E7E7E" w:sz="6" w:space="0"/>
            <w:right w:val="single" w:color="7E7E7E" w:sz="6" w:space="0"/>
            <w:insideH w:val="single" w:color="7E7E7E" w:sz="6" w:space="0"/>
            <w:insideV w:val="single" w:color="7E7E7E" w:sz="6" w:space="0"/>
          </w:tblBorders>
          <w:tblCellMar>
            <w:top w:w="15" w:type="dxa"/>
            <w:left w:w="15" w:type="dxa"/>
            <w:bottom w:w="15" w:type="dxa"/>
            <w:right w:w="15" w:type="dxa"/>
          </w:tblCellMar>
        </w:tblPrEx>
        <w:trPr>
          <w:trHeight w:val="303" w:hRule="atLeast"/>
        </w:trPr>
        <w:tc>
          <w:tcPr>
            <w:tcW w:w="715" w:type="pct"/>
            <w:tcMar>
              <w:top w:w="45" w:type="dxa"/>
              <w:left w:w="45" w:type="dxa"/>
              <w:bottom w:w="45" w:type="dxa"/>
              <w:right w:w="45" w:type="dxa"/>
            </w:tcMar>
            <w:vAlign w:val="center"/>
          </w:tcPr>
          <w:p>
            <w:pPr>
              <w:widowControl/>
              <w:adjustRightInd w:val="0"/>
              <w:snapToGrid w:val="0"/>
              <w:spacing w:line="460" w:lineRule="exact"/>
              <w:jc w:val="center"/>
              <w:rPr>
                <w:rFonts w:ascii="宋体" w:hAnsi="宋体" w:cs="宋体"/>
                <w:color w:val="auto"/>
                <w:kern w:val="0"/>
                <w:sz w:val="24"/>
                <w:szCs w:val="24"/>
              </w:rPr>
            </w:pPr>
            <w:r>
              <w:rPr>
                <w:rFonts w:hint="eastAsia" w:ascii="宋体" w:hAnsi="宋体" w:cs="宋体"/>
                <w:color w:val="auto"/>
                <w:sz w:val="24"/>
                <w:szCs w:val="24"/>
              </w:rPr>
              <w:t>1</w:t>
            </w:r>
          </w:p>
        </w:tc>
        <w:tc>
          <w:tcPr>
            <w:tcW w:w="2294" w:type="pct"/>
            <w:tcMar>
              <w:top w:w="45" w:type="dxa"/>
              <w:left w:w="45" w:type="dxa"/>
              <w:bottom w:w="45" w:type="dxa"/>
              <w:right w:w="45" w:type="dxa"/>
            </w:tcMar>
            <w:vAlign w:val="center"/>
          </w:tcPr>
          <w:p>
            <w:pPr>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详见磋商文件</w:t>
            </w:r>
          </w:p>
        </w:tc>
        <w:tc>
          <w:tcPr>
            <w:tcW w:w="1990" w:type="pct"/>
            <w:gridSpan w:val="5"/>
            <w:tcMar>
              <w:top w:w="45" w:type="dxa"/>
              <w:left w:w="45" w:type="dxa"/>
              <w:bottom w:w="45" w:type="dxa"/>
              <w:right w:w="45" w:type="dxa"/>
            </w:tcMar>
            <w:vAlign w:val="center"/>
          </w:tcPr>
          <w:p>
            <w:pPr>
              <w:widowControl/>
              <w:adjustRightInd w:val="0"/>
              <w:snapToGrid w:val="0"/>
              <w:spacing w:line="460" w:lineRule="exact"/>
              <w:jc w:val="center"/>
              <w:rPr>
                <w:rFonts w:ascii="宋体" w:hAnsi="宋体" w:cs="宋体"/>
                <w:color w:val="auto"/>
                <w:kern w:val="0"/>
                <w:sz w:val="24"/>
                <w:szCs w:val="24"/>
              </w:rPr>
            </w:pPr>
            <w:r>
              <w:rPr>
                <w:rFonts w:hint="eastAsia" w:ascii="宋体" w:hAnsi="宋体" w:cs="宋体"/>
                <w:color w:val="auto"/>
                <w:kern w:val="0"/>
                <w:sz w:val="24"/>
                <w:szCs w:val="24"/>
              </w:rPr>
              <w:t>详见磋商文件</w:t>
            </w:r>
          </w:p>
        </w:tc>
      </w:tr>
      <w:tr>
        <w:tblPrEx>
          <w:tblBorders>
            <w:top w:val="single" w:color="7E7E7E" w:sz="6" w:space="0"/>
            <w:left w:val="single" w:color="7E7E7E" w:sz="6" w:space="0"/>
            <w:bottom w:val="single" w:color="7E7E7E" w:sz="6" w:space="0"/>
            <w:right w:val="single" w:color="7E7E7E" w:sz="6" w:space="0"/>
            <w:insideH w:val="single" w:color="7E7E7E" w:sz="6" w:space="0"/>
            <w:insideV w:val="single" w:color="7E7E7E" w:sz="6" w:space="0"/>
          </w:tblBorders>
          <w:tblCellMar>
            <w:top w:w="15" w:type="dxa"/>
            <w:left w:w="15" w:type="dxa"/>
            <w:bottom w:w="15" w:type="dxa"/>
            <w:right w:w="15" w:type="dxa"/>
          </w:tblCellMar>
        </w:tblPrEx>
        <w:tc>
          <w:tcPr>
            <w:tcW w:w="3009" w:type="pct"/>
            <w:gridSpan w:val="2"/>
            <w:vAlign w:val="center"/>
          </w:tcPr>
          <w:p>
            <w:pPr>
              <w:widowControl/>
              <w:adjustRightInd w:val="0"/>
              <w:snapToGrid w:val="0"/>
              <w:spacing w:line="460" w:lineRule="exact"/>
              <w:jc w:val="center"/>
              <w:rPr>
                <w:rFonts w:ascii="宋体" w:hAnsi="宋体" w:cs="宋体"/>
                <w:color w:val="auto"/>
                <w:kern w:val="0"/>
                <w:sz w:val="24"/>
              </w:rPr>
            </w:pPr>
            <w:r>
              <w:rPr>
                <w:rFonts w:hint="eastAsia" w:ascii="宋体" w:hAnsi="宋体" w:cs="宋体"/>
                <w:color w:val="auto"/>
                <w:kern w:val="0"/>
                <w:sz w:val="24"/>
              </w:rPr>
              <w:t>竞争性磋商项目可能实质性变动内容</w:t>
            </w:r>
          </w:p>
        </w:tc>
        <w:tc>
          <w:tcPr>
            <w:tcW w:w="825" w:type="pct"/>
            <w:gridSpan w:val="2"/>
            <w:tcMar>
              <w:top w:w="45" w:type="dxa"/>
              <w:left w:w="45" w:type="dxa"/>
              <w:bottom w:w="45" w:type="dxa"/>
              <w:right w:w="45" w:type="dxa"/>
            </w:tcMar>
            <w:vAlign w:val="center"/>
          </w:tcPr>
          <w:p>
            <w:pPr>
              <w:widowControl/>
              <w:adjustRightInd w:val="0"/>
              <w:snapToGrid w:val="0"/>
              <w:spacing w:line="460" w:lineRule="exact"/>
              <w:jc w:val="center"/>
              <w:rPr>
                <w:rFonts w:ascii="宋体" w:hAnsi="宋体" w:cs="宋体"/>
                <w:color w:val="auto"/>
                <w:kern w:val="0"/>
                <w:sz w:val="24"/>
              </w:rPr>
            </w:pPr>
            <w:r>
              <w:rPr>
                <w:rFonts w:ascii="宋体" w:hAnsi="宋体" w:cs="宋体"/>
                <w:color w:val="auto"/>
                <w:kern w:val="0"/>
                <w:sz w:val="24"/>
              </w:rPr>
              <w:t>否</w:t>
            </w:r>
          </w:p>
        </w:tc>
        <w:tc>
          <w:tcPr>
            <w:tcW w:w="579" w:type="pct"/>
            <w:gridSpan w:val="2"/>
            <w:tcMar>
              <w:top w:w="45" w:type="dxa"/>
              <w:left w:w="45" w:type="dxa"/>
              <w:bottom w:w="45" w:type="dxa"/>
              <w:right w:w="45" w:type="dxa"/>
            </w:tcMar>
            <w:vAlign w:val="center"/>
          </w:tcPr>
          <w:p>
            <w:pPr>
              <w:widowControl/>
              <w:adjustRightInd w:val="0"/>
              <w:snapToGrid w:val="0"/>
              <w:spacing w:line="460" w:lineRule="exact"/>
              <w:jc w:val="center"/>
              <w:rPr>
                <w:rFonts w:ascii="宋体" w:hAnsi="宋体" w:cs="宋体"/>
                <w:color w:val="auto"/>
                <w:kern w:val="0"/>
                <w:sz w:val="24"/>
              </w:rPr>
            </w:pPr>
            <w:r>
              <w:rPr>
                <w:rFonts w:ascii="宋体" w:hAnsi="宋体" w:cs="宋体"/>
                <w:color w:val="auto"/>
                <w:kern w:val="0"/>
                <w:sz w:val="24"/>
              </w:rPr>
              <w:t>否</w:t>
            </w:r>
          </w:p>
        </w:tc>
        <w:tc>
          <w:tcPr>
            <w:tcW w:w="584" w:type="pct"/>
            <w:tcMar>
              <w:top w:w="45" w:type="dxa"/>
              <w:left w:w="45" w:type="dxa"/>
              <w:bottom w:w="45" w:type="dxa"/>
              <w:right w:w="45" w:type="dxa"/>
            </w:tcMar>
            <w:vAlign w:val="center"/>
          </w:tcPr>
          <w:p>
            <w:pPr>
              <w:widowControl/>
              <w:adjustRightInd w:val="0"/>
              <w:snapToGrid w:val="0"/>
              <w:spacing w:line="460" w:lineRule="exact"/>
              <w:jc w:val="center"/>
              <w:rPr>
                <w:rFonts w:ascii="宋体" w:hAnsi="宋体" w:cs="宋体"/>
                <w:color w:val="auto"/>
                <w:kern w:val="0"/>
                <w:sz w:val="24"/>
              </w:rPr>
            </w:pPr>
            <w:r>
              <w:rPr>
                <w:rFonts w:ascii="宋体" w:hAnsi="宋体" w:cs="宋体"/>
                <w:color w:val="auto"/>
                <w:kern w:val="0"/>
                <w:sz w:val="24"/>
              </w:rPr>
              <w:t>否</w:t>
            </w:r>
          </w:p>
        </w:tc>
      </w:tr>
    </w:tbl>
    <w:p>
      <w:pPr>
        <w:widowControl/>
        <w:shd w:val="clear" w:color="auto" w:fill="FFFFFF"/>
        <w:adjustRightInd w:val="0"/>
        <w:snapToGrid w:val="0"/>
        <w:spacing w:line="360" w:lineRule="auto"/>
        <w:jc w:val="left"/>
        <w:rPr>
          <w:rFonts w:ascii="宋体" w:hAnsi="宋体" w:cs="宋体"/>
          <w:color w:val="auto"/>
          <w:kern w:val="0"/>
          <w:sz w:val="24"/>
        </w:rPr>
      </w:pPr>
      <w:r>
        <w:rPr>
          <w:rFonts w:hint="eastAsia" w:ascii="宋体" w:hAnsi="宋体" w:cs="宋体"/>
          <w:b/>
          <w:bCs/>
          <w:color w:val="auto"/>
          <w:kern w:val="0"/>
          <w:sz w:val="24"/>
        </w:rPr>
        <w:t>二、供应商资格要求：</w:t>
      </w:r>
    </w:p>
    <w:p>
      <w:pPr>
        <w:widowControl/>
        <w:shd w:val="clear" w:color="auto" w:fill="FFFFFF"/>
        <w:adjustRightInd w:val="0"/>
        <w:snapToGrid w:val="0"/>
        <w:spacing w:line="360" w:lineRule="auto"/>
        <w:jc w:val="left"/>
        <w:rPr>
          <w:rFonts w:ascii="宋体" w:hAnsi="宋体" w:cs="宋体"/>
          <w:color w:val="auto"/>
          <w:kern w:val="0"/>
          <w:sz w:val="24"/>
        </w:rPr>
      </w:pPr>
      <w:r>
        <w:rPr>
          <w:rFonts w:hint="eastAsia" w:ascii="宋体" w:hAnsi="宋体" w:cs="宋体"/>
          <w:b/>
          <w:bCs/>
          <w:color w:val="auto"/>
          <w:kern w:val="0"/>
          <w:sz w:val="24"/>
        </w:rPr>
        <w:t>2.1供应商基本资格要求：</w:t>
      </w:r>
    </w:p>
    <w:p>
      <w:pPr>
        <w:widowControl/>
        <w:shd w:val="clear" w:color="auto" w:fill="FFFFFF"/>
        <w:adjustRightInd w:val="0"/>
        <w:snapToGrid w:val="0"/>
        <w:spacing w:line="360" w:lineRule="auto"/>
        <w:jc w:val="left"/>
        <w:rPr>
          <w:rFonts w:ascii="宋体" w:hAnsi="宋体" w:cs="宋体"/>
          <w:color w:val="auto"/>
          <w:kern w:val="0"/>
          <w:sz w:val="24"/>
        </w:rPr>
      </w:pPr>
      <w:r>
        <w:rPr>
          <w:rFonts w:hint="eastAsia" w:ascii="宋体" w:hAnsi="宋体" w:eastAsia="宋体" w:cs="宋体"/>
          <w:color w:val="auto"/>
          <w:szCs w:val="21"/>
          <w:lang w:eastAsia="zh-CN"/>
        </w:rPr>
        <w:t>①</w:t>
      </w:r>
      <w:r>
        <w:rPr>
          <w:rFonts w:hint="eastAsia" w:ascii="宋体" w:hAnsi="宋体" w:cs="宋体"/>
          <w:color w:val="auto"/>
          <w:kern w:val="0"/>
          <w:sz w:val="24"/>
        </w:rPr>
        <w:t>具有独立承担民事责任的能力；</w:t>
      </w:r>
    </w:p>
    <w:p>
      <w:pPr>
        <w:widowControl/>
        <w:shd w:val="clear" w:color="auto" w:fill="FFFFFF"/>
        <w:adjustRightInd w:val="0"/>
        <w:snapToGrid w:val="0"/>
        <w:spacing w:line="360" w:lineRule="auto"/>
        <w:jc w:val="left"/>
        <w:rPr>
          <w:rFonts w:ascii="宋体" w:hAnsi="宋体" w:cs="宋体"/>
          <w:color w:val="auto"/>
          <w:kern w:val="0"/>
          <w:sz w:val="24"/>
        </w:rPr>
      </w:pPr>
      <w:r>
        <w:rPr>
          <w:rFonts w:hint="eastAsia" w:ascii="宋体" w:hAnsi="宋体" w:cs="宋体"/>
          <w:color w:val="auto"/>
          <w:kern w:val="0"/>
          <w:sz w:val="24"/>
          <w:lang w:eastAsia="zh-CN"/>
        </w:rPr>
        <w:t>②</w:t>
      </w:r>
      <w:r>
        <w:rPr>
          <w:rFonts w:hint="eastAsia" w:ascii="宋体" w:hAnsi="宋体" w:cs="宋体"/>
          <w:color w:val="auto"/>
          <w:kern w:val="0"/>
          <w:sz w:val="24"/>
        </w:rPr>
        <w:t>具有良好的商业信誉和健全的财务会计制度；</w:t>
      </w:r>
    </w:p>
    <w:p>
      <w:pPr>
        <w:widowControl/>
        <w:shd w:val="clear" w:color="auto" w:fill="FFFFFF"/>
        <w:adjustRightInd w:val="0"/>
        <w:snapToGrid w:val="0"/>
        <w:spacing w:line="360" w:lineRule="auto"/>
        <w:jc w:val="left"/>
        <w:rPr>
          <w:rFonts w:ascii="宋体" w:hAnsi="宋体" w:cs="宋体"/>
          <w:color w:val="auto"/>
          <w:kern w:val="0"/>
          <w:sz w:val="24"/>
        </w:rPr>
      </w:pPr>
      <w:r>
        <w:rPr>
          <w:rFonts w:hint="eastAsia" w:ascii="宋体" w:hAnsi="宋体" w:cs="宋体"/>
          <w:color w:val="auto"/>
          <w:kern w:val="0"/>
          <w:sz w:val="24"/>
          <w:lang w:eastAsia="zh-CN"/>
        </w:rPr>
        <w:t>③</w:t>
      </w:r>
      <w:r>
        <w:rPr>
          <w:rFonts w:hint="eastAsia" w:ascii="宋体" w:hAnsi="宋体" w:cs="宋体"/>
          <w:color w:val="auto"/>
          <w:kern w:val="0"/>
          <w:sz w:val="24"/>
        </w:rPr>
        <w:t>具有履行合同所必需的设备和专业技术能力；</w:t>
      </w:r>
    </w:p>
    <w:p>
      <w:pPr>
        <w:widowControl/>
        <w:shd w:val="clear" w:color="auto" w:fill="FFFFFF"/>
        <w:adjustRightInd w:val="0"/>
        <w:snapToGrid w:val="0"/>
        <w:spacing w:line="360" w:lineRule="auto"/>
        <w:jc w:val="left"/>
        <w:rPr>
          <w:rFonts w:ascii="宋体" w:hAnsi="宋体" w:cs="宋体"/>
          <w:color w:val="auto"/>
          <w:kern w:val="0"/>
          <w:sz w:val="24"/>
        </w:rPr>
      </w:pPr>
      <w:r>
        <w:rPr>
          <w:rFonts w:hint="eastAsia" w:ascii="宋体" w:hAnsi="宋体" w:cs="宋体"/>
          <w:color w:val="auto"/>
          <w:kern w:val="0"/>
          <w:sz w:val="24"/>
          <w:lang w:eastAsia="zh-CN"/>
        </w:rPr>
        <w:t>④</w:t>
      </w:r>
      <w:r>
        <w:rPr>
          <w:rFonts w:hint="eastAsia" w:ascii="宋体" w:hAnsi="宋体" w:cs="宋体"/>
          <w:color w:val="auto"/>
          <w:kern w:val="0"/>
          <w:sz w:val="24"/>
        </w:rPr>
        <w:t>有依法缴纳税收和社会保障资金的良好记录；</w:t>
      </w:r>
    </w:p>
    <w:p>
      <w:pPr>
        <w:widowControl/>
        <w:shd w:val="clear" w:color="auto" w:fill="FFFFFF"/>
        <w:adjustRightInd w:val="0"/>
        <w:snapToGrid w:val="0"/>
        <w:spacing w:line="360" w:lineRule="auto"/>
        <w:jc w:val="left"/>
        <w:rPr>
          <w:rFonts w:ascii="宋体" w:hAnsi="宋体" w:cs="宋体"/>
          <w:color w:val="auto"/>
          <w:kern w:val="0"/>
          <w:sz w:val="24"/>
        </w:rPr>
      </w:pPr>
      <w:r>
        <w:rPr>
          <w:rFonts w:hint="eastAsia" w:ascii="宋体" w:hAnsi="宋体" w:cs="宋体"/>
          <w:color w:val="auto"/>
          <w:kern w:val="0"/>
          <w:sz w:val="24"/>
          <w:lang w:eastAsia="zh-CN"/>
        </w:rPr>
        <w:t>⑤</w:t>
      </w:r>
      <w:r>
        <w:rPr>
          <w:rFonts w:hint="eastAsia" w:ascii="宋体" w:hAnsi="宋体" w:cs="宋体"/>
          <w:color w:val="auto"/>
          <w:kern w:val="0"/>
          <w:sz w:val="24"/>
        </w:rPr>
        <w:t>参加采购活动前三年内，在经营活动中没有重大违法记录；</w:t>
      </w:r>
    </w:p>
    <w:p>
      <w:pPr>
        <w:widowControl/>
        <w:shd w:val="clear" w:color="auto" w:fill="FFFFFF"/>
        <w:adjustRightInd w:val="0"/>
        <w:snapToGrid w:val="0"/>
        <w:spacing w:line="360" w:lineRule="auto"/>
        <w:jc w:val="left"/>
        <w:rPr>
          <w:rFonts w:hint="eastAsia" w:ascii="宋体" w:hAnsi="宋体" w:cs="宋体"/>
          <w:color w:val="auto"/>
          <w:kern w:val="0"/>
          <w:sz w:val="24"/>
        </w:rPr>
      </w:pPr>
      <w:r>
        <w:rPr>
          <w:rFonts w:hint="eastAsia" w:ascii="宋体" w:hAnsi="宋体" w:cs="宋体"/>
          <w:color w:val="auto"/>
          <w:kern w:val="0"/>
          <w:sz w:val="24"/>
          <w:lang w:eastAsia="zh-CN"/>
        </w:rPr>
        <w:t>⑥</w:t>
      </w:r>
      <w:r>
        <w:rPr>
          <w:rFonts w:hint="eastAsia" w:ascii="宋体" w:hAnsi="宋体" w:cs="宋体"/>
          <w:color w:val="auto"/>
          <w:kern w:val="0"/>
          <w:sz w:val="24"/>
        </w:rPr>
        <w:t>法律、行政法规规定的其他条件。</w:t>
      </w:r>
    </w:p>
    <w:p>
      <w:pPr>
        <w:widowControl/>
        <w:shd w:val="clear" w:color="auto" w:fill="FFFFFF"/>
        <w:adjustRightInd w:val="0"/>
        <w:snapToGrid w:val="0"/>
        <w:spacing w:line="360" w:lineRule="auto"/>
        <w:jc w:val="left"/>
        <w:rPr>
          <w:rFonts w:hint="eastAsia" w:ascii="宋体" w:hAnsi="宋体" w:cs="宋体"/>
          <w:color w:val="auto"/>
          <w:kern w:val="0"/>
          <w:sz w:val="24"/>
        </w:rPr>
      </w:pPr>
      <w:r>
        <w:rPr>
          <w:rFonts w:hint="eastAsia" w:ascii="宋体" w:hAnsi="宋体" w:cs="宋体"/>
          <w:b/>
          <w:bCs/>
          <w:color w:val="auto"/>
          <w:kern w:val="0"/>
          <w:sz w:val="24"/>
        </w:rPr>
        <w:t>2.2供应商特定资格要求：</w:t>
      </w:r>
      <w:r>
        <w:rPr>
          <w:rFonts w:hint="eastAsia" w:ascii="宋体" w:hAnsi="宋体" w:cs="宋体"/>
          <w:color w:val="auto"/>
          <w:kern w:val="0"/>
          <w:sz w:val="24"/>
          <w:lang w:eastAsia="zh-CN"/>
        </w:rPr>
        <w:t>无</w:t>
      </w:r>
      <w:r>
        <w:rPr>
          <w:rFonts w:hint="eastAsia" w:ascii="宋体" w:hAnsi="宋体" w:cs="宋体"/>
          <w:color w:val="auto"/>
          <w:kern w:val="0"/>
          <w:sz w:val="24"/>
        </w:rPr>
        <w:t>。</w:t>
      </w:r>
    </w:p>
    <w:p>
      <w:pPr>
        <w:widowControl/>
        <w:shd w:val="clear" w:color="auto" w:fill="FFFFFF"/>
        <w:adjustRightInd w:val="0"/>
        <w:snapToGrid w:val="0"/>
        <w:spacing w:line="360" w:lineRule="auto"/>
        <w:jc w:val="left"/>
        <w:rPr>
          <w:rFonts w:hint="eastAsia" w:ascii="宋体" w:hAnsi="宋体" w:cs="宋体"/>
          <w:color w:val="auto"/>
          <w:kern w:val="0"/>
          <w:sz w:val="24"/>
        </w:rPr>
      </w:pPr>
      <w:r>
        <w:rPr>
          <w:rFonts w:hint="eastAsia" w:ascii="宋体" w:hAnsi="宋体" w:cs="宋体"/>
          <w:b/>
          <w:bCs/>
          <w:color w:val="auto"/>
          <w:kern w:val="0"/>
          <w:sz w:val="24"/>
        </w:rPr>
        <w:t>2.3落实采购政策需满足的资格要求：</w:t>
      </w:r>
      <w:r>
        <w:rPr>
          <w:rFonts w:hint="eastAsia" w:ascii="宋体" w:hAnsi="宋体" w:cs="宋体"/>
          <w:color w:val="auto"/>
          <w:kern w:val="0"/>
          <w:sz w:val="24"/>
          <w:lang w:eastAsia="zh-CN"/>
        </w:rPr>
        <w:t>本项目专门面向中小企业采购，供应商须按照《政府采购促进中小企业发展管理办法》的规定提供中小企业声明函</w:t>
      </w:r>
      <w:r>
        <w:rPr>
          <w:rFonts w:hint="eastAsia" w:ascii="宋体" w:hAnsi="宋体" w:cs="宋体"/>
          <w:color w:val="auto"/>
          <w:kern w:val="0"/>
          <w:sz w:val="24"/>
        </w:rPr>
        <w:t>。</w:t>
      </w:r>
    </w:p>
    <w:p>
      <w:pPr>
        <w:widowControl/>
        <w:shd w:val="clear" w:color="auto" w:fill="FFFFFF"/>
        <w:adjustRightInd w:val="0"/>
        <w:snapToGrid w:val="0"/>
        <w:spacing w:line="360" w:lineRule="auto"/>
        <w:jc w:val="left"/>
        <w:rPr>
          <w:rFonts w:hint="eastAsia" w:ascii="宋体" w:hAnsi="宋体" w:cs="宋体"/>
          <w:color w:val="auto"/>
          <w:kern w:val="0"/>
          <w:sz w:val="24"/>
        </w:rPr>
      </w:pPr>
      <w:r>
        <w:rPr>
          <w:rFonts w:hint="eastAsia" w:ascii="宋体" w:hAnsi="宋体" w:cs="宋体"/>
          <w:b/>
          <w:bCs/>
          <w:color w:val="auto"/>
          <w:kern w:val="0"/>
          <w:sz w:val="24"/>
          <w:lang w:val="en-US" w:eastAsia="zh-CN"/>
        </w:rPr>
        <w:t>2.4</w:t>
      </w:r>
      <w:r>
        <w:rPr>
          <w:rFonts w:hint="eastAsia" w:ascii="宋体" w:hAnsi="宋体" w:cs="宋体"/>
          <w:b/>
          <w:bCs/>
          <w:color w:val="auto"/>
          <w:kern w:val="0"/>
          <w:sz w:val="24"/>
        </w:rPr>
        <w:t>本项目对联合体的要求：</w:t>
      </w:r>
      <w:r>
        <w:rPr>
          <w:rFonts w:hint="eastAsia" w:ascii="宋体" w:hAnsi="宋体" w:cs="宋体"/>
          <w:color w:val="auto"/>
          <w:kern w:val="0"/>
          <w:sz w:val="24"/>
        </w:rPr>
        <w:t>本项目不接受联合体。</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ascii="宋体" w:hAnsi="宋体" w:cs="宋体"/>
          <w:b/>
          <w:bCs/>
          <w:color w:val="auto"/>
          <w:kern w:val="0"/>
          <w:sz w:val="24"/>
        </w:rPr>
      </w:pPr>
      <w:r>
        <w:rPr>
          <w:rFonts w:hint="eastAsia" w:ascii="宋体" w:hAnsi="宋体" w:cs="宋体"/>
          <w:b/>
          <w:bCs/>
          <w:color w:val="auto"/>
          <w:kern w:val="0"/>
          <w:sz w:val="24"/>
        </w:rPr>
        <w:t>三、竞争性磋商文件发售方式、时间及文件售价：</w:t>
      </w:r>
    </w:p>
    <w:p>
      <w:pPr>
        <w:keepNext w:val="0"/>
        <w:keepLines w:val="0"/>
        <w:pageBreakBefore w:val="0"/>
        <w:tabs>
          <w:tab w:val="left" w:pos="4700"/>
          <w:tab w:val="left" w:pos="6000"/>
          <w:tab w:val="left" w:pos="7160"/>
          <w:tab w:val="left" w:pos="8520"/>
        </w:tabs>
        <w:kinsoku/>
        <w:wordWrap/>
        <w:overflowPunct/>
        <w:topLinePunct w:val="0"/>
        <w:autoSpaceDE w:val="0"/>
        <w:autoSpaceDN w:val="0"/>
        <w:bidi w:val="0"/>
        <w:adjustRightInd w:val="0"/>
        <w:snapToGrid w:val="0"/>
        <w:spacing w:line="360" w:lineRule="auto"/>
        <w:jc w:val="left"/>
        <w:textAlignment w:val="auto"/>
        <w:rPr>
          <w:rFonts w:cs="微软雅黑" w:asciiTheme="minorEastAsia" w:hAnsiTheme="minorEastAsia" w:eastAsiaTheme="minorEastAsia"/>
          <w:color w:val="auto"/>
          <w:kern w:val="0"/>
          <w:sz w:val="24"/>
        </w:rPr>
      </w:pPr>
      <w:r>
        <w:rPr>
          <w:rFonts w:hint="eastAsia" w:asciiTheme="minorEastAsia" w:hAnsiTheme="minorEastAsia" w:eastAsiaTheme="minorEastAsia"/>
          <w:color w:val="auto"/>
          <w:kern w:val="0"/>
          <w:sz w:val="24"/>
        </w:rPr>
        <w:t>3.1</w:t>
      </w:r>
      <w:r>
        <w:rPr>
          <w:rFonts w:hint="eastAsia" w:cs="微软雅黑" w:asciiTheme="minorEastAsia" w:hAnsiTheme="minorEastAsia" w:eastAsiaTheme="minorEastAsia"/>
          <w:color w:val="auto"/>
          <w:kern w:val="0"/>
          <w:sz w:val="24"/>
        </w:rPr>
        <w:t>获取磋商文件时间（工作时间）：202</w:t>
      </w:r>
      <w:r>
        <w:rPr>
          <w:rFonts w:hint="eastAsia" w:cs="微软雅黑" w:asciiTheme="minorEastAsia" w:hAnsiTheme="minorEastAsia" w:eastAsiaTheme="minorEastAsia"/>
          <w:color w:val="auto"/>
          <w:kern w:val="0"/>
          <w:sz w:val="24"/>
          <w:lang w:val="en-US" w:eastAsia="zh-CN"/>
        </w:rPr>
        <w:t>4</w:t>
      </w:r>
      <w:r>
        <w:rPr>
          <w:rFonts w:hint="eastAsia" w:cs="微软雅黑" w:asciiTheme="minorEastAsia" w:hAnsiTheme="minorEastAsia" w:eastAsiaTheme="minorEastAsia"/>
          <w:color w:val="auto"/>
          <w:kern w:val="0"/>
          <w:sz w:val="24"/>
        </w:rPr>
        <w:t>年</w:t>
      </w:r>
      <w:r>
        <w:rPr>
          <w:rFonts w:hint="eastAsia" w:cs="微软雅黑" w:asciiTheme="minorEastAsia" w:hAnsiTheme="minorEastAsia" w:eastAsiaTheme="minorEastAsia"/>
          <w:color w:val="auto"/>
          <w:kern w:val="0"/>
          <w:sz w:val="24"/>
          <w:lang w:val="en-US" w:eastAsia="zh-CN"/>
        </w:rPr>
        <w:t>3</w:t>
      </w:r>
      <w:r>
        <w:rPr>
          <w:rFonts w:hint="eastAsia" w:cs="微软雅黑" w:asciiTheme="minorEastAsia" w:hAnsiTheme="minorEastAsia" w:eastAsiaTheme="minorEastAsia"/>
          <w:color w:val="auto"/>
          <w:kern w:val="0"/>
          <w:sz w:val="24"/>
        </w:rPr>
        <w:t>月</w:t>
      </w:r>
      <w:r>
        <w:rPr>
          <w:rFonts w:hint="eastAsia" w:cs="微软雅黑" w:asciiTheme="minorEastAsia" w:hAnsiTheme="minorEastAsia" w:eastAsiaTheme="minorEastAsia"/>
          <w:color w:val="auto"/>
          <w:kern w:val="0"/>
          <w:sz w:val="24"/>
          <w:lang w:val="en-US" w:eastAsia="zh-CN"/>
        </w:rPr>
        <w:t>1</w:t>
      </w:r>
      <w:r>
        <w:rPr>
          <w:rFonts w:hint="eastAsia" w:cs="微软雅黑" w:asciiTheme="minorEastAsia" w:hAnsiTheme="minorEastAsia" w:eastAsiaTheme="minorEastAsia"/>
          <w:color w:val="auto"/>
          <w:kern w:val="0"/>
          <w:sz w:val="24"/>
        </w:rPr>
        <w:t>日至202</w:t>
      </w:r>
      <w:r>
        <w:rPr>
          <w:rFonts w:hint="eastAsia" w:cs="微软雅黑" w:asciiTheme="minorEastAsia" w:hAnsiTheme="minorEastAsia" w:eastAsiaTheme="minorEastAsia"/>
          <w:color w:val="auto"/>
          <w:kern w:val="0"/>
          <w:sz w:val="24"/>
          <w:lang w:val="en-US" w:eastAsia="zh-CN"/>
        </w:rPr>
        <w:t>4</w:t>
      </w:r>
      <w:r>
        <w:rPr>
          <w:rFonts w:hint="eastAsia" w:cs="微软雅黑" w:asciiTheme="minorEastAsia" w:hAnsiTheme="minorEastAsia" w:eastAsiaTheme="minorEastAsia"/>
          <w:color w:val="auto"/>
          <w:kern w:val="0"/>
          <w:sz w:val="24"/>
        </w:rPr>
        <w:t>年</w:t>
      </w:r>
      <w:r>
        <w:rPr>
          <w:rFonts w:hint="eastAsia" w:cs="微软雅黑" w:asciiTheme="minorEastAsia" w:hAnsiTheme="minorEastAsia" w:eastAsiaTheme="minorEastAsia"/>
          <w:color w:val="auto"/>
          <w:kern w:val="0"/>
          <w:sz w:val="24"/>
          <w:lang w:val="en-US" w:eastAsia="zh-CN"/>
        </w:rPr>
        <w:t>3</w:t>
      </w:r>
      <w:r>
        <w:rPr>
          <w:rFonts w:hint="eastAsia" w:cs="微软雅黑" w:asciiTheme="minorEastAsia" w:hAnsiTheme="minorEastAsia" w:eastAsiaTheme="minorEastAsia"/>
          <w:color w:val="auto"/>
          <w:kern w:val="0"/>
          <w:sz w:val="24"/>
        </w:rPr>
        <w:t>月</w:t>
      </w:r>
      <w:r>
        <w:rPr>
          <w:rFonts w:hint="eastAsia" w:cs="微软雅黑" w:asciiTheme="minorEastAsia" w:hAnsiTheme="minorEastAsia" w:eastAsiaTheme="minorEastAsia"/>
          <w:color w:val="auto"/>
          <w:kern w:val="0"/>
          <w:sz w:val="24"/>
          <w:lang w:val="en-US" w:eastAsia="zh-CN"/>
        </w:rPr>
        <w:t>7</w:t>
      </w:r>
      <w:r>
        <w:rPr>
          <w:rFonts w:hint="eastAsia" w:cs="微软雅黑" w:asciiTheme="minorEastAsia" w:hAnsiTheme="minorEastAsia" w:eastAsiaTheme="minorEastAsia"/>
          <w:color w:val="auto"/>
          <w:kern w:val="0"/>
          <w:sz w:val="24"/>
        </w:rPr>
        <w:t>日。</w:t>
      </w:r>
    </w:p>
    <w:p>
      <w:pPr>
        <w:keepNext w:val="0"/>
        <w:keepLines w:val="0"/>
        <w:pageBreakBefore w:val="0"/>
        <w:tabs>
          <w:tab w:val="left" w:pos="4700"/>
          <w:tab w:val="left" w:pos="6000"/>
          <w:tab w:val="left" w:pos="7160"/>
          <w:tab w:val="left" w:pos="8520"/>
        </w:tabs>
        <w:kinsoku/>
        <w:wordWrap/>
        <w:overflowPunct/>
        <w:topLinePunct w:val="0"/>
        <w:autoSpaceDE w:val="0"/>
        <w:autoSpaceDN w:val="0"/>
        <w:bidi w:val="0"/>
        <w:adjustRightInd w:val="0"/>
        <w:snapToGrid w:val="0"/>
        <w:spacing w:line="360" w:lineRule="auto"/>
        <w:jc w:val="left"/>
        <w:textAlignment w:val="auto"/>
        <w:rPr>
          <w:rFonts w:hint="eastAsia" w:cs="微软雅黑" w:asciiTheme="minorEastAsia" w:hAnsiTheme="minorEastAsia" w:eastAsiaTheme="minorEastAsia"/>
          <w:color w:val="auto"/>
          <w:kern w:val="0"/>
          <w:sz w:val="24"/>
          <w:lang w:eastAsia="zh-CN"/>
        </w:rPr>
      </w:pPr>
      <w:r>
        <w:rPr>
          <w:rFonts w:hint="eastAsia" w:cs="微软雅黑" w:asciiTheme="minorEastAsia" w:hAnsiTheme="minorEastAsia" w:eastAsiaTheme="minorEastAsia"/>
          <w:color w:val="auto"/>
          <w:kern w:val="0"/>
          <w:sz w:val="24"/>
        </w:rPr>
        <w:t>3.2获取</w:t>
      </w:r>
      <w:r>
        <w:rPr>
          <w:rFonts w:hint="eastAsia" w:cs="微软雅黑" w:asciiTheme="minorEastAsia" w:hAnsiTheme="minorEastAsia" w:eastAsiaTheme="minorEastAsia"/>
          <w:color w:val="auto"/>
          <w:kern w:val="0"/>
          <w:sz w:val="24"/>
          <w:lang w:eastAsia="zh-CN"/>
        </w:rPr>
        <w:t>磋商</w:t>
      </w:r>
      <w:r>
        <w:rPr>
          <w:rFonts w:hint="eastAsia" w:cs="微软雅黑" w:asciiTheme="minorEastAsia" w:hAnsiTheme="minorEastAsia" w:eastAsiaTheme="minorEastAsia"/>
          <w:color w:val="auto"/>
          <w:kern w:val="0"/>
          <w:sz w:val="24"/>
        </w:rPr>
        <w:t>文件方式：凡符合资格要求且有意参加投标者，请于规定时间在常德众益项目管理咨询有限公司（常德市武陵区丹阳路209号四栋6楼）获取</w:t>
      </w:r>
      <w:r>
        <w:rPr>
          <w:rFonts w:hint="eastAsia" w:cs="微软雅黑" w:asciiTheme="minorEastAsia" w:hAnsiTheme="minorEastAsia" w:eastAsiaTheme="minorEastAsia"/>
          <w:color w:val="auto"/>
          <w:kern w:val="0"/>
          <w:sz w:val="24"/>
          <w:lang w:eastAsia="zh-CN"/>
        </w:rPr>
        <w:t>磋商</w:t>
      </w:r>
      <w:r>
        <w:rPr>
          <w:rFonts w:hint="eastAsia" w:cs="微软雅黑" w:asciiTheme="minorEastAsia" w:hAnsiTheme="minorEastAsia" w:eastAsiaTheme="minorEastAsia"/>
          <w:color w:val="auto"/>
          <w:kern w:val="0"/>
          <w:sz w:val="24"/>
        </w:rPr>
        <w:t>文件。供应商在获取磋商文件时，需递交以下材料：①附法定代表人身份证明的授权委托书和被委托人身份证（法人参与提供法人身份证）；②法人或者其他组织的营业执照等主体资格证明文件，自然人的提供身份证明。③特定资格要求提供的证件。上述材料提供复印件一套并加盖供应商公章，没有提供或提供不全者不提供磋商文件</w:t>
      </w:r>
      <w:r>
        <w:rPr>
          <w:rFonts w:hint="eastAsia" w:cs="微软雅黑" w:asciiTheme="minorEastAsia" w:hAnsiTheme="minorEastAsia" w:eastAsiaTheme="minorEastAsia"/>
          <w:color w:val="auto"/>
          <w:kern w:val="0"/>
          <w:sz w:val="24"/>
          <w:lang w:eastAsia="zh-CN"/>
        </w:rPr>
        <w:t>。</w:t>
      </w:r>
    </w:p>
    <w:p>
      <w:pPr>
        <w:keepNext w:val="0"/>
        <w:keepLines w:val="0"/>
        <w:pageBreakBefore w:val="0"/>
        <w:tabs>
          <w:tab w:val="left" w:pos="4700"/>
          <w:tab w:val="left" w:pos="6000"/>
          <w:tab w:val="left" w:pos="7160"/>
          <w:tab w:val="left" w:pos="8520"/>
        </w:tabs>
        <w:kinsoku/>
        <w:wordWrap/>
        <w:overflowPunct/>
        <w:topLinePunct w:val="0"/>
        <w:autoSpaceDE w:val="0"/>
        <w:autoSpaceDN w:val="0"/>
        <w:bidi w:val="0"/>
        <w:adjustRightInd w:val="0"/>
        <w:snapToGrid w:val="0"/>
        <w:spacing w:line="360" w:lineRule="auto"/>
        <w:jc w:val="left"/>
        <w:textAlignment w:val="auto"/>
        <w:rPr>
          <w:rFonts w:cs="微软雅黑" w:asciiTheme="minorEastAsia" w:hAnsiTheme="minorEastAsia" w:eastAsiaTheme="minorEastAsia"/>
          <w:color w:val="auto"/>
          <w:kern w:val="0"/>
          <w:sz w:val="24"/>
        </w:rPr>
      </w:pPr>
      <w:r>
        <w:rPr>
          <w:rFonts w:hint="eastAsia" w:cs="微软雅黑" w:asciiTheme="minorEastAsia" w:hAnsiTheme="minorEastAsia" w:eastAsiaTheme="minorEastAsia"/>
          <w:color w:val="auto"/>
          <w:kern w:val="0"/>
          <w:sz w:val="24"/>
        </w:rPr>
        <w:t>3.3磋商文件售价：</w:t>
      </w:r>
      <w:r>
        <w:rPr>
          <w:rFonts w:hint="eastAsia" w:ascii="宋体" w:hAnsi="宋体" w:cs="宋体" w:eastAsiaTheme="minorEastAsia"/>
          <w:color w:val="auto"/>
          <w:kern w:val="0"/>
          <w:sz w:val="24"/>
          <w:lang w:val="en-US" w:eastAsia="zh-CN"/>
        </w:rPr>
        <w:t>4</w:t>
      </w:r>
      <w:r>
        <w:rPr>
          <w:rFonts w:hint="eastAsia" w:ascii="宋体" w:hAnsi="宋体" w:cs="宋体"/>
          <w:color w:val="auto"/>
          <w:kern w:val="0"/>
          <w:sz w:val="24"/>
        </w:rPr>
        <w:t>00元/套</w:t>
      </w:r>
      <w:r>
        <w:rPr>
          <w:rFonts w:hint="eastAsia" w:ascii="宋体" w:hAnsi="宋体" w:cs="宋体"/>
          <w:color w:val="auto"/>
          <w:kern w:val="0"/>
          <w:sz w:val="24"/>
          <w:lang w:eastAsia="zh-CN"/>
        </w:rPr>
        <w:t>，售后不退</w:t>
      </w:r>
      <w:r>
        <w:rPr>
          <w:rFonts w:hint="eastAsia" w:cs="微软雅黑" w:asciiTheme="minorEastAsia" w:hAnsiTheme="minorEastAsia" w:eastAsiaTheme="minorEastAsia"/>
          <w:b w:val="0"/>
          <w:bCs w:val="0"/>
          <w:color w:val="auto"/>
          <w:kern w:val="0"/>
          <w:position w:val="-3"/>
          <w:sz w:val="24"/>
        </w:rPr>
        <w:t>。</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ascii="宋体" w:hAnsi="宋体" w:cs="宋体"/>
          <w:b/>
          <w:bCs/>
          <w:color w:val="auto"/>
          <w:kern w:val="0"/>
          <w:sz w:val="24"/>
        </w:rPr>
      </w:pPr>
      <w:r>
        <w:rPr>
          <w:rFonts w:hint="eastAsia" w:cs="微软雅黑" w:asciiTheme="minorEastAsia" w:hAnsiTheme="minorEastAsia" w:eastAsiaTheme="minorEastAsia"/>
          <w:color w:val="auto"/>
          <w:kern w:val="0"/>
          <w:sz w:val="24"/>
        </w:rPr>
        <w:t>3.4澄清更正采用“网上澄清更正”方式。采购人或采购代理机构对磋商文件的澄清更正均会在</w:t>
      </w:r>
      <w:r>
        <w:rPr>
          <w:rFonts w:hint="eastAsia" w:cs="微软雅黑" w:asciiTheme="minorEastAsia" w:hAnsiTheme="minorEastAsia" w:eastAsiaTheme="minorEastAsia"/>
          <w:color w:val="auto"/>
          <w:kern w:val="0"/>
          <w:sz w:val="24"/>
          <w:szCs w:val="24"/>
          <w:lang w:val="en-US" w:eastAsia="zh-CN"/>
        </w:rPr>
        <w:t>《常德市鼎城区人民检察院官网》(www.changdedc.jcy.gov.cn/)</w:t>
      </w:r>
      <w:r>
        <w:rPr>
          <w:rFonts w:hint="eastAsia" w:cs="微软雅黑" w:asciiTheme="minorEastAsia" w:hAnsiTheme="minorEastAsia" w:eastAsiaTheme="minorEastAsia"/>
          <w:color w:val="auto"/>
          <w:kern w:val="0"/>
          <w:sz w:val="24"/>
        </w:rPr>
        <w:t>发布，请供应商自行获取。其获取的澄清更正内容与书面澄清更正具有同等法律效力。</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ascii="宋体" w:hAnsi="宋体" w:cs="宋体"/>
          <w:color w:val="auto"/>
          <w:kern w:val="0"/>
          <w:sz w:val="24"/>
        </w:rPr>
      </w:pPr>
      <w:r>
        <w:rPr>
          <w:rFonts w:hint="eastAsia" w:ascii="宋体" w:hAnsi="宋体" w:cs="宋体"/>
          <w:b/>
          <w:bCs/>
          <w:color w:val="auto"/>
          <w:kern w:val="0"/>
          <w:sz w:val="24"/>
        </w:rPr>
        <w:t>四、递交响应文件的截止时间和地点：</w:t>
      </w:r>
    </w:p>
    <w:p>
      <w:pPr>
        <w:keepNext w:val="0"/>
        <w:keepLines w:val="0"/>
        <w:pageBreakBefore w:val="0"/>
        <w:shd w:val="clear" w:color="auto" w:fill="FFFFFF"/>
        <w:kinsoku/>
        <w:wordWrap/>
        <w:overflowPunct/>
        <w:topLinePunct w:val="0"/>
        <w:bidi w:val="0"/>
        <w:adjustRightInd w:val="0"/>
        <w:snapToGrid w:val="0"/>
        <w:spacing w:line="360" w:lineRule="auto"/>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4.1竞争性磋商响应截止、开标时间：</w:t>
      </w:r>
      <w:r>
        <w:rPr>
          <w:rFonts w:hint="eastAsia" w:ascii="宋体" w:hAnsi="宋体" w:cs="仿宋_GB2312"/>
          <w:b/>
          <w:bCs/>
          <w:color w:val="auto"/>
          <w:kern w:val="0"/>
          <w:sz w:val="24"/>
          <w:lang w:eastAsia="zh-CN"/>
        </w:rPr>
        <w:t>2024年3月12日09时30分</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4.2 竞争性磋商地点：</w:t>
      </w:r>
      <w:r>
        <w:rPr>
          <w:rFonts w:hint="eastAsia" w:ascii="宋体" w:hAnsi="宋体" w:cs="宋体"/>
          <w:color w:val="auto"/>
          <w:kern w:val="0"/>
          <w:sz w:val="24"/>
          <w:lang w:eastAsia="zh-CN"/>
        </w:rPr>
        <w:t>常德市鼎城区人民检察院办公大楼31</w:t>
      </w:r>
      <w:r>
        <w:rPr>
          <w:rFonts w:hint="eastAsia" w:ascii="宋体" w:hAnsi="宋体" w:cs="宋体"/>
          <w:color w:val="auto"/>
          <w:kern w:val="0"/>
          <w:sz w:val="24"/>
          <w:lang w:val="en-US" w:eastAsia="zh-CN"/>
        </w:rPr>
        <w:t>8</w:t>
      </w:r>
      <w:r>
        <w:rPr>
          <w:rFonts w:hint="eastAsia" w:ascii="宋体" w:hAnsi="宋体" w:cs="宋体"/>
          <w:color w:val="auto"/>
          <w:kern w:val="0"/>
          <w:sz w:val="24"/>
          <w:lang w:eastAsia="zh-CN"/>
        </w:rPr>
        <w:t>会议室</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ascii="宋体" w:hAnsi="宋体" w:cs="宋体"/>
          <w:color w:val="auto"/>
          <w:kern w:val="0"/>
          <w:sz w:val="24"/>
        </w:rPr>
      </w:pPr>
      <w:r>
        <w:rPr>
          <w:rFonts w:hint="eastAsia" w:ascii="宋体" w:hAnsi="宋体" w:cs="宋体"/>
          <w:color w:val="auto"/>
          <w:kern w:val="0"/>
          <w:sz w:val="24"/>
        </w:rPr>
        <w:t>4.3 响应文件送至</w:t>
      </w:r>
      <w:r>
        <w:rPr>
          <w:rFonts w:hint="eastAsia" w:ascii="宋体" w:hAnsi="宋体" w:cs="宋体"/>
          <w:color w:val="auto"/>
          <w:kern w:val="0"/>
          <w:sz w:val="24"/>
          <w:lang w:eastAsia="zh-CN"/>
        </w:rPr>
        <w:t>常德市鼎城区人民检察院办公大楼31</w:t>
      </w:r>
      <w:r>
        <w:rPr>
          <w:rFonts w:hint="eastAsia" w:ascii="宋体" w:hAnsi="宋体" w:cs="宋体"/>
          <w:color w:val="auto"/>
          <w:kern w:val="0"/>
          <w:sz w:val="24"/>
          <w:lang w:val="en-US" w:eastAsia="zh-CN"/>
        </w:rPr>
        <w:t>8</w:t>
      </w:r>
      <w:r>
        <w:rPr>
          <w:rFonts w:hint="eastAsia" w:ascii="宋体" w:hAnsi="宋体" w:cs="宋体"/>
          <w:color w:val="auto"/>
          <w:kern w:val="0"/>
          <w:sz w:val="24"/>
          <w:lang w:eastAsia="zh-CN"/>
        </w:rPr>
        <w:t>会议室</w:t>
      </w:r>
      <w:r>
        <w:rPr>
          <w:rFonts w:hint="eastAsia" w:ascii="宋体" w:hAnsi="宋体" w:cs="宋体"/>
          <w:color w:val="auto"/>
          <w:kern w:val="0"/>
          <w:sz w:val="24"/>
        </w:rPr>
        <w:t>。逾期送达或者不按磋商文件要求密封或者不按磋商文件的要求提供保证金的的响应文件，采购代理机构将拒绝接收。</w:t>
      </w:r>
    </w:p>
    <w:p>
      <w:pPr>
        <w:keepNext w:val="0"/>
        <w:keepLines w:val="0"/>
        <w:pageBreakBefore w:val="0"/>
        <w:widowControl/>
        <w:kinsoku/>
        <w:wordWrap/>
        <w:overflowPunct/>
        <w:topLinePunct w:val="0"/>
        <w:bidi w:val="0"/>
        <w:adjustRightInd w:val="0"/>
        <w:snapToGrid w:val="0"/>
        <w:spacing w:line="360" w:lineRule="auto"/>
        <w:ind w:right="-153" w:rightChars="-73"/>
        <w:jc w:val="left"/>
        <w:textAlignment w:val="auto"/>
        <w:outlineLvl w:val="9"/>
        <w:rPr>
          <w:rFonts w:hint="eastAsia" w:ascii="宋体" w:hAnsi="宋体" w:eastAsia="宋体" w:cs="Times New Roman"/>
          <w:color w:val="auto"/>
          <w:kern w:val="0"/>
          <w:sz w:val="24"/>
        </w:rPr>
      </w:pPr>
      <w:r>
        <w:rPr>
          <w:rFonts w:hint="eastAsia" w:ascii="宋体" w:hAnsi="宋体" w:cs="Times New Roman"/>
          <w:b/>
          <w:bCs/>
          <w:color w:val="auto"/>
          <w:kern w:val="0"/>
          <w:sz w:val="24"/>
          <w:lang w:eastAsia="zh-CN"/>
        </w:rPr>
        <w:t>五</w:t>
      </w:r>
      <w:r>
        <w:rPr>
          <w:rFonts w:hint="eastAsia" w:ascii="宋体" w:hAnsi="宋体" w:eastAsia="宋体" w:cs="Times New Roman"/>
          <w:b/>
          <w:bCs/>
          <w:color w:val="auto"/>
          <w:kern w:val="0"/>
          <w:sz w:val="24"/>
        </w:rPr>
        <w:t>、公告期限：</w:t>
      </w:r>
    </w:p>
    <w:p>
      <w:pPr>
        <w:keepNext w:val="0"/>
        <w:keepLines w:val="0"/>
        <w:pageBreakBefore w:val="0"/>
        <w:widowControl/>
        <w:kinsoku/>
        <w:wordWrap/>
        <w:overflowPunct/>
        <w:topLinePunct w:val="0"/>
        <w:bidi w:val="0"/>
        <w:adjustRightInd w:val="0"/>
        <w:snapToGrid w:val="0"/>
        <w:spacing w:line="360" w:lineRule="auto"/>
        <w:ind w:right="-153" w:rightChars="-73"/>
        <w:jc w:val="left"/>
        <w:textAlignment w:val="auto"/>
        <w:outlineLvl w:val="9"/>
        <w:rPr>
          <w:rFonts w:hint="eastAsia" w:ascii="宋体" w:hAnsi="宋体" w:eastAsia="宋体" w:cs="Times New Roman"/>
          <w:color w:val="auto"/>
          <w:kern w:val="0"/>
          <w:sz w:val="24"/>
        </w:rPr>
      </w:pPr>
      <w:r>
        <w:rPr>
          <w:rFonts w:hint="eastAsia" w:ascii="宋体" w:hAnsi="宋体" w:cs="Times New Roman"/>
          <w:color w:val="auto"/>
          <w:kern w:val="0"/>
          <w:sz w:val="24"/>
          <w:lang w:val="en-US" w:eastAsia="zh-CN"/>
        </w:rPr>
        <w:t>5</w:t>
      </w:r>
      <w:r>
        <w:rPr>
          <w:rFonts w:hint="eastAsia" w:ascii="宋体" w:hAnsi="宋体" w:eastAsia="宋体" w:cs="Times New Roman"/>
          <w:color w:val="auto"/>
          <w:kern w:val="0"/>
          <w:sz w:val="24"/>
        </w:rPr>
        <w:t>.1公告期限从本磋商公告发布之日起3个工作日。</w:t>
      </w:r>
    </w:p>
    <w:p>
      <w:pPr>
        <w:keepNext w:val="0"/>
        <w:keepLines w:val="0"/>
        <w:pageBreakBefore w:val="0"/>
        <w:widowControl/>
        <w:kinsoku/>
        <w:wordWrap/>
        <w:overflowPunct/>
        <w:topLinePunct w:val="0"/>
        <w:bidi w:val="0"/>
        <w:adjustRightInd w:val="0"/>
        <w:snapToGrid w:val="0"/>
        <w:spacing w:line="360" w:lineRule="auto"/>
        <w:ind w:right="-153" w:rightChars="-73"/>
        <w:jc w:val="left"/>
        <w:textAlignment w:val="auto"/>
        <w:outlineLvl w:val="9"/>
        <w:rPr>
          <w:rFonts w:hint="eastAsia" w:ascii="宋体" w:hAnsi="宋体" w:eastAsia="宋体" w:cs="Times New Roman"/>
          <w:color w:val="auto"/>
          <w:kern w:val="0"/>
          <w:sz w:val="24"/>
        </w:rPr>
      </w:pPr>
      <w:r>
        <w:rPr>
          <w:rFonts w:hint="eastAsia" w:ascii="宋体" w:hAnsi="宋体" w:cs="Times New Roman"/>
          <w:color w:val="auto"/>
          <w:kern w:val="0"/>
          <w:sz w:val="24"/>
          <w:lang w:val="en-US" w:eastAsia="zh-CN"/>
        </w:rPr>
        <w:t>5</w:t>
      </w:r>
      <w:r>
        <w:rPr>
          <w:rFonts w:hint="eastAsia" w:ascii="宋体" w:hAnsi="宋体" w:eastAsia="宋体" w:cs="Times New Roman"/>
          <w:color w:val="auto"/>
          <w:kern w:val="0"/>
          <w:sz w:val="24"/>
        </w:rPr>
        <w:t>.2在其他媒体发布的公告，公告内容以指定媒体发布的公告为准；公告期限自指定媒体最先发布公告之日起算。</w:t>
      </w:r>
    </w:p>
    <w:p>
      <w:pPr>
        <w:keepNext w:val="0"/>
        <w:keepLines w:val="0"/>
        <w:pageBreakBefore w:val="0"/>
        <w:kinsoku/>
        <w:wordWrap/>
        <w:overflowPunct/>
        <w:topLinePunct w:val="0"/>
        <w:bidi w:val="0"/>
        <w:adjustRightInd w:val="0"/>
        <w:snapToGrid w:val="0"/>
        <w:spacing w:line="360" w:lineRule="auto"/>
        <w:textAlignment w:val="auto"/>
        <w:rPr>
          <w:rFonts w:asciiTheme="minorEastAsia" w:hAnsiTheme="minorEastAsia" w:eastAsiaTheme="minorEastAsia"/>
          <w:color w:val="auto"/>
          <w:sz w:val="24"/>
        </w:rPr>
      </w:pPr>
      <w:r>
        <w:rPr>
          <w:rFonts w:hint="eastAsia" w:asciiTheme="minorEastAsia" w:hAnsiTheme="minorEastAsia" w:eastAsiaTheme="minorEastAsia"/>
          <w:b/>
          <w:color w:val="auto"/>
          <w:sz w:val="24"/>
          <w:lang w:eastAsia="zh-CN"/>
        </w:rPr>
        <w:t>六</w:t>
      </w:r>
      <w:r>
        <w:rPr>
          <w:rFonts w:hint="eastAsia" w:asciiTheme="minorEastAsia" w:hAnsiTheme="minorEastAsia" w:eastAsiaTheme="minorEastAsia"/>
          <w:b/>
          <w:color w:val="auto"/>
          <w:sz w:val="24"/>
        </w:rPr>
        <w:t>、疑问及质疑</w:t>
      </w:r>
      <w:r>
        <w:rPr>
          <w:rFonts w:hint="eastAsia" w:asciiTheme="minorEastAsia" w:hAnsiTheme="minorEastAsia" w:eastAsiaTheme="minorEastAsia"/>
          <w:color w:val="auto"/>
          <w:sz w:val="24"/>
        </w:rPr>
        <w:t>：</w:t>
      </w:r>
    </w:p>
    <w:p>
      <w:pPr>
        <w:keepNext w:val="0"/>
        <w:keepLines w:val="0"/>
        <w:pageBreakBefore w:val="0"/>
        <w:kinsoku/>
        <w:wordWrap/>
        <w:overflowPunct/>
        <w:topLinePunct w:val="0"/>
        <w:bidi w:val="0"/>
        <w:adjustRightInd w:val="0"/>
        <w:snapToGrid w:val="0"/>
        <w:spacing w:line="360" w:lineRule="auto"/>
        <w:textAlignment w:val="auto"/>
        <w:rPr>
          <w:rFonts w:asciiTheme="minorEastAsia" w:hAnsiTheme="minorEastAsia" w:eastAsiaTheme="minorEastAsia"/>
          <w:color w:val="auto"/>
          <w:sz w:val="24"/>
        </w:rPr>
      </w:pP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.1供应商对采购活动事项如有疑问的，可以向采购人、采购代理机构提出书面询问。采购人、采购代理机构将在3个工作日内作出答复。</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ascii="宋体" w:hAnsi="宋体" w:cs="宋体"/>
          <w:b/>
          <w:bCs/>
          <w:color w:val="auto"/>
          <w:kern w:val="0"/>
          <w:sz w:val="24"/>
        </w:rPr>
      </w:pPr>
      <w:r>
        <w:rPr>
          <w:rFonts w:hint="eastAsia" w:asciiTheme="minorEastAsia" w:hAnsiTheme="minorEastAsia" w:eastAsiaTheme="minorEastAsia"/>
          <w:color w:val="auto"/>
          <w:sz w:val="24"/>
          <w:lang w:val="en-US" w:eastAsia="zh-CN"/>
        </w:rPr>
        <w:t>6</w:t>
      </w:r>
      <w:r>
        <w:rPr>
          <w:rFonts w:hint="eastAsia" w:asciiTheme="minorEastAsia" w:hAnsiTheme="minorEastAsia" w:eastAsiaTheme="minorEastAsia"/>
          <w:color w:val="auto"/>
          <w:sz w:val="24"/>
        </w:rPr>
        <w:t>.2潜在供应商认为磋商文件或磋商公告使自己的合法权益受到损害的，可以在知道或者应知其权益受到损害之日起7个工作日内，按《湖南省财政厅关于印发＜政府采购质疑答复和投诉处理操作规程＞的通知》(湘财购〔2019〕20号)规定，以书面形式向采购人、采购代理机构提出质疑。</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ascii="宋体" w:hAnsi="宋体" w:cs="宋体"/>
          <w:color w:val="auto"/>
          <w:kern w:val="0"/>
          <w:sz w:val="24"/>
        </w:rPr>
      </w:pPr>
      <w:r>
        <w:rPr>
          <w:rFonts w:hint="eastAsia" w:ascii="宋体" w:hAnsi="宋体" w:cs="宋体"/>
          <w:b/>
          <w:bCs/>
          <w:color w:val="auto"/>
          <w:kern w:val="0"/>
          <w:sz w:val="24"/>
        </w:rPr>
        <w:t>八、与本次采购相关联系方式：</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4"/>
          <w:lang w:eastAsia="zh-CN"/>
        </w:rPr>
      </w:pPr>
      <w:r>
        <w:rPr>
          <w:rFonts w:hint="eastAsia" w:ascii="宋体" w:hAnsi="宋体" w:cs="宋体"/>
          <w:b/>
          <w:bCs/>
          <w:color w:val="auto"/>
          <w:kern w:val="0"/>
          <w:sz w:val="24"/>
        </w:rPr>
        <w:t>采 购 人：</w:t>
      </w:r>
      <w:r>
        <w:rPr>
          <w:rFonts w:hint="eastAsia" w:ascii="宋体" w:hAnsi="宋体" w:cs="宋体"/>
          <w:color w:val="auto"/>
          <w:kern w:val="0"/>
          <w:sz w:val="24"/>
          <w:lang w:eastAsia="zh-CN"/>
        </w:rPr>
        <w:t>常德市鼎城区人民检察院</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联 系 人：</w:t>
      </w:r>
      <w:bookmarkStart w:id="0" w:name="_GoBack"/>
      <w:bookmarkEnd w:id="0"/>
      <w:r>
        <w:rPr>
          <w:rFonts w:hint="eastAsia" w:ascii="宋体" w:hAnsi="宋体" w:cs="宋体"/>
          <w:color w:val="auto"/>
          <w:kern w:val="0"/>
          <w:sz w:val="24"/>
          <w:lang w:eastAsia="zh-CN"/>
        </w:rPr>
        <w:t>杨主任</w:t>
      </w:r>
      <w:r>
        <w:rPr>
          <w:rFonts w:hint="eastAsia" w:ascii="宋体" w:hAnsi="宋体" w:cs="宋体"/>
          <w:color w:val="auto"/>
          <w:kern w:val="0"/>
          <w:sz w:val="24"/>
        </w:rPr>
        <w:t xml:space="preserve">              电  话：</w:t>
      </w:r>
      <w:r>
        <w:rPr>
          <w:rFonts w:hint="eastAsia" w:ascii="宋体" w:hAnsi="宋体" w:cs="宋体"/>
          <w:color w:val="auto"/>
          <w:kern w:val="0"/>
          <w:sz w:val="24"/>
          <w:lang w:eastAsia="zh-CN"/>
        </w:rPr>
        <w:t>0736-7371428</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地   址：</w:t>
      </w:r>
      <w:r>
        <w:rPr>
          <w:rFonts w:hint="eastAsia" w:ascii="宋体" w:hAnsi="宋体" w:cs="宋体"/>
          <w:color w:val="auto"/>
          <w:kern w:val="0"/>
          <w:sz w:val="24"/>
          <w:lang w:eastAsia="zh-CN"/>
        </w:rPr>
        <w:t>常德市鼎城区桃花源路与金霞路交叉口处</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ascii="宋体" w:hAnsi="宋体" w:cs="宋体"/>
          <w:color w:val="auto"/>
          <w:kern w:val="0"/>
          <w:sz w:val="24"/>
        </w:rPr>
      </w:pPr>
      <w:r>
        <w:rPr>
          <w:rFonts w:hint="eastAsia" w:ascii="宋体" w:hAnsi="宋体" w:cs="宋体"/>
          <w:b/>
          <w:bCs/>
          <w:color w:val="auto"/>
          <w:kern w:val="0"/>
          <w:sz w:val="24"/>
        </w:rPr>
        <w:t>采购代理机构：</w:t>
      </w:r>
      <w:r>
        <w:rPr>
          <w:rFonts w:hint="eastAsia" w:ascii="宋体" w:hAnsi="宋体" w:cs="宋体"/>
          <w:color w:val="auto"/>
          <w:kern w:val="0"/>
          <w:sz w:val="24"/>
        </w:rPr>
        <w:t>常德众益项目管理咨询有限公司</w:t>
      </w:r>
    </w:p>
    <w:p>
      <w:pPr>
        <w:keepNext w:val="0"/>
        <w:keepLines w:val="0"/>
        <w:pageBreakBefore w:val="0"/>
        <w:widowControl/>
        <w:shd w:val="clear" w:color="auto" w:fill="FFFFFF"/>
        <w:kinsoku/>
        <w:wordWrap/>
        <w:overflowPunct/>
        <w:topLinePunct w:val="0"/>
        <w:bidi w:val="0"/>
        <w:adjustRightInd w:val="0"/>
        <w:snapToGrid w:val="0"/>
        <w:spacing w:line="360" w:lineRule="auto"/>
        <w:jc w:val="left"/>
        <w:textAlignment w:val="auto"/>
        <w:rPr>
          <w:rFonts w:ascii="宋体" w:hAnsi="宋体" w:cs="宋体"/>
          <w:color w:val="auto"/>
          <w:kern w:val="0"/>
          <w:sz w:val="24"/>
        </w:rPr>
      </w:pPr>
      <w:r>
        <w:rPr>
          <w:rFonts w:hint="eastAsia" w:ascii="宋体" w:hAnsi="宋体" w:cs="宋体"/>
          <w:color w:val="auto"/>
          <w:kern w:val="0"/>
          <w:sz w:val="24"/>
        </w:rPr>
        <w:t>联 系 人：王先强/袁巧玲       电   话：0736-7189788</w:t>
      </w:r>
    </w:p>
    <w:p>
      <w:r>
        <w:rPr>
          <w:rFonts w:hint="eastAsia" w:ascii="宋体" w:hAnsi="宋体" w:cs="宋体"/>
          <w:color w:val="auto"/>
          <w:kern w:val="0"/>
          <w:sz w:val="24"/>
        </w:rPr>
        <w:t>公司地址：</w:t>
      </w:r>
      <w:r>
        <w:rPr>
          <w:rFonts w:hint="eastAsia" w:ascii="宋体" w:hAnsi="宋体" w:cs="宋体"/>
          <w:color w:val="auto"/>
          <w:kern w:val="0"/>
          <w:sz w:val="24"/>
          <w:lang w:eastAsia="zh-CN"/>
        </w:rPr>
        <w:t>常德市武陵区丹阳路上川四季酒店6楼</w:t>
      </w:r>
    </w:p>
    <w:p/>
    <w:p>
      <w:pPr>
        <w:jc w:val="right"/>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2024年2月29日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ZjFhMThlNmMzYjZkMzc2YTUzYzg0MzRhZThhYTIifQ=="/>
  </w:docVars>
  <w:rsids>
    <w:rsidRoot w:val="00000000"/>
    <w:rsid w:val="05D0010F"/>
    <w:rsid w:val="143B28A6"/>
    <w:rsid w:val="259C15A5"/>
    <w:rsid w:val="26BD2CBC"/>
    <w:rsid w:val="2F173E5F"/>
    <w:rsid w:val="369F647C"/>
    <w:rsid w:val="384746B2"/>
    <w:rsid w:val="3A9B5E78"/>
    <w:rsid w:val="40C86F7A"/>
    <w:rsid w:val="44CC6E7E"/>
    <w:rsid w:val="49E35145"/>
    <w:rsid w:val="59324886"/>
    <w:rsid w:val="5BD42F28"/>
    <w:rsid w:val="63003980"/>
    <w:rsid w:val="640D4CBB"/>
    <w:rsid w:val="6CF57929"/>
    <w:rsid w:val="77A9581A"/>
    <w:rsid w:val="7DBE1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rPr>
      <w:rFonts w:ascii="华文中宋" w:hAnsi="华文中宋" w:eastAsia="华文中宋"/>
      <w:b/>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1443</Words>
  <Characters>1574</Characters>
  <Lines>0</Lines>
  <Paragraphs>0</Paragraphs>
  <TotalTime>19</TotalTime>
  <ScaleCrop>false</ScaleCrop>
  <LinksUpToDate>false</LinksUpToDate>
  <CharactersWithSpaces>1620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2023-02-16T07:43:00Z</dcterms:created>
  <dc:creator>Administrator</dc:creator>
  <cp:lastModifiedBy>Gelson</cp:lastModifiedBy>
  <dcterms:modified xsi:type="dcterms:W3CDTF">2024-02-29T03:45:51Z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ECE02374416D411E8EA12DB9E177FDEF</vt:lpwstr>
  </property>
</Properties>
</file>